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08" w:rsidRPr="00583A14" w:rsidRDefault="00F45A08" w:rsidP="00F45A08">
      <w:pPr>
        <w:jc w:val="center"/>
        <w:rPr>
          <w:b/>
          <w:sz w:val="24"/>
          <w:szCs w:val="24"/>
        </w:rPr>
      </w:pPr>
      <w:r w:rsidRPr="00583A14">
        <w:rPr>
          <w:b/>
          <w:sz w:val="24"/>
          <w:szCs w:val="24"/>
        </w:rPr>
        <w:t>GLAVA 03005 MINISTARSTVO OBRANE</w:t>
      </w:r>
    </w:p>
    <w:p w:rsidR="00F45A08" w:rsidRDefault="00F45A08" w:rsidP="00F45A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583A14">
        <w:rPr>
          <w:b/>
          <w:sz w:val="24"/>
          <w:szCs w:val="24"/>
        </w:rPr>
        <w:t>OBRAZLOŽENJE</w:t>
      </w:r>
      <w:r w:rsidRPr="00113076">
        <w:rPr>
          <w:b/>
          <w:sz w:val="24"/>
          <w:szCs w:val="24"/>
        </w:rPr>
        <w:t xml:space="preserve"> GODIŠNJEG IZVJEŠTAJA O IZVRŠENJU FINANCIJSKOG PLANA</w:t>
      </w:r>
      <w:r>
        <w:rPr>
          <w:b/>
          <w:sz w:val="24"/>
          <w:szCs w:val="24"/>
        </w:rPr>
        <w:t xml:space="preserve"> ZA 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GODINU</w:t>
      </w:r>
    </w:p>
    <w:p w:rsidR="00F45A08" w:rsidRPr="00583A14" w:rsidRDefault="00F45A08" w:rsidP="00F45A08">
      <w:pPr>
        <w:jc w:val="center"/>
        <w:rPr>
          <w:b/>
          <w:sz w:val="24"/>
          <w:szCs w:val="24"/>
        </w:rPr>
      </w:pPr>
      <w:r w:rsidRPr="00583A14">
        <w:rPr>
          <w:b/>
          <w:sz w:val="24"/>
          <w:szCs w:val="24"/>
        </w:rPr>
        <w:t xml:space="preserve">OBRAZLOŽENJE </w:t>
      </w:r>
      <w:r>
        <w:rPr>
          <w:b/>
          <w:sz w:val="24"/>
          <w:szCs w:val="24"/>
        </w:rPr>
        <w:t>POSEBNOG</w:t>
      </w:r>
      <w:r w:rsidRPr="00583A14">
        <w:rPr>
          <w:b/>
          <w:sz w:val="24"/>
          <w:szCs w:val="24"/>
        </w:rPr>
        <w:t xml:space="preserve"> DIJELA </w:t>
      </w:r>
    </w:p>
    <w:p w:rsidR="00653B54" w:rsidRDefault="00653B54">
      <w:pPr>
        <w:jc w:val="left"/>
      </w:pPr>
    </w:p>
    <w:p w:rsidR="00653B54" w:rsidRDefault="001E77CB">
      <w:pPr>
        <w:pStyle w:val="Heading2"/>
      </w:pPr>
      <w:r>
        <w:t>03005 Ministarstvo obrane</w:t>
      </w:r>
    </w:p>
    <w:p w:rsidR="00653B54" w:rsidRDefault="001E77CB">
      <w:r>
        <w:t>Ministarstvo obrane planira i razvija obrambene sposobnosti potrebne za zaštitu suvereniteta, neovisnosti i teritorijalne cjelovitosti Republike Hrvatske i za izgradnju zajedničkih sposobnosti NATO-a, aktivno sudjeluje u operacijama potpore miru i drugim a</w:t>
      </w:r>
      <w:r>
        <w:t xml:space="preserve">ktivnostima u inozemstvu u svrhu jačanja sigurnosti i očuvanja mira te angažira svoje kapacitete u pružanju pomoći civilnim institucijama i stanovništvu  u zemlji. </w:t>
      </w:r>
    </w:p>
    <w:p w:rsidR="00653B54" w:rsidRDefault="001E77CB">
      <w:r>
        <w:t>Izvršenje Financijskog plana Ministarstva obrane za 2024. godinu bilo je usmjereno na daljn</w:t>
      </w:r>
      <w:r>
        <w:t>ji razvoj obrambenog sustava te na obavljanje zadaća Oružanih snaga Republike Hrvatske, sudjelovanje u operacijama potpore miru i pomoć civilnim institucijama i stanovništvu  u zemlji. Nastavljen je trend ulaganja u opremanje i modernizaciju Oružanih snaga</w:t>
      </w:r>
      <w:r>
        <w:t xml:space="preserve"> Republike Hrvatske. Nastavljeni su projekti opremanja višenamjenskim borbenim avionom, helikopterima UH-60M Black Hawk, borbenim vozilom pješaštva Bradley, opremanja baznih oklopnih vozila naoružanjem i opremom, opremanja obalnim brodovima, daljnje integr</w:t>
      </w:r>
      <w:r>
        <w:t xml:space="preserve">acije sustava protuzračne obrane Republike Hrvatske u NATO sustav i uređenja podatkovnog središta i opremanja računalnom opremom. Nastavljeno je opremanje raketnim sustavom protuzračne obrane kratkog dometa i vojnom terenskom bolnicom. Započeti su procesi </w:t>
      </w:r>
      <w:r>
        <w:t>opremanja s dodatnih osam helikoptera UH-60M Black Hawk, besposadnim zrakoplovnim sustavom Bayraktar, i raketnim sustavom HIMARS. Održavanje materijalno-tehničkih sredstava i obuka provodili su se s ciljem postizanja potrebne razine spremnosti i razvijanja</w:t>
      </w:r>
      <w:r>
        <w:t xml:space="preserve"> sposobnosti za obavljanje zadaća Oružanih snaga. Pripadnici Oružanih snaga nastavili su sudjelovanje u misijama, operacijama i aktivnostima pod vodstvom NATO-a, Ujedinjenih naroda i Europske unije. Kroz aktivnosti protupožarne zaštite, hitnog medicinskog </w:t>
      </w:r>
      <w:r>
        <w:t>prijevoza, Obalne straže, potrage i spašavanja i drugih netradicionalnih vojnih zadaća pripadnici Oružanih snaga uključili su se u pružanje pomoći i potpore civilnim institucijama i stanovništvu.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71"/>
        <w:gridCol w:w="1946"/>
        <w:gridCol w:w="1946"/>
        <w:gridCol w:w="1946"/>
        <w:gridCol w:w="1192"/>
        <w:gridCol w:w="1205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653B54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</w:t>
            </w:r>
            <w:r>
              <w:rPr>
                <w:rFonts w:cs="Times New Roman"/>
              </w:rPr>
              <w:t>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  <w:vAlign w:val="top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03005-Ministarstvo obrane</w:t>
            </w:r>
          </w:p>
        </w:tc>
        <w:tc>
          <w:tcPr>
            <w:tcW w:w="2041" w:type="dxa"/>
            <w:vAlign w:val="top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1.026.081.703</w:t>
            </w:r>
          </w:p>
        </w:tc>
        <w:tc>
          <w:tcPr>
            <w:tcW w:w="2041" w:type="dxa"/>
            <w:vAlign w:val="top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1.269.808.184</w:t>
            </w:r>
          </w:p>
        </w:tc>
        <w:tc>
          <w:tcPr>
            <w:tcW w:w="2041" w:type="dxa"/>
            <w:vAlign w:val="top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1.259.920.067</w:t>
            </w:r>
          </w:p>
        </w:tc>
        <w:tc>
          <w:tcPr>
            <w:tcW w:w="1224" w:type="dxa"/>
            <w:vAlign w:val="top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99,2</w:t>
            </w:r>
          </w:p>
        </w:tc>
        <w:tc>
          <w:tcPr>
            <w:tcW w:w="1224" w:type="dxa"/>
            <w:vAlign w:val="top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122,8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jc w:val="left"/>
            </w:pPr>
            <w:r>
              <w:t>2504-OPREMANJE, MODERNIZACIJA I IZGRADNJA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432.688.337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553.918.589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548.991.637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99,1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126,9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jc w:val="left"/>
            </w:pPr>
            <w:r>
              <w:t>2505-UPRAVLJANJE, OBRAZOVANJE I POTPORA OSOBLJU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436.340.051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550.810.642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549.955.494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99,8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126,0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jc w:val="left"/>
            </w:pPr>
            <w:r>
              <w:t>2506-KOMUNIKACIJSKO-INFORMACIJSKI SUSTAVI I POTPORA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29.272.585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30.546.237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28.954.376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94,8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98,9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jc w:val="left"/>
            </w:pPr>
            <w:r>
              <w:t>2507-OBUKA I LOGISTIČKA POTPORA ORUŽANIH SNAGA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67.242.236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75.584.249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74.169.365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98,1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110,3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jc w:val="left"/>
            </w:pPr>
            <w:r>
              <w:lastRenderedPageBreak/>
              <w:t>2508-MEĐUNARODNA SURADNJA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15.441.400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13.677.409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13.589.766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99,4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88,0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jc w:val="left"/>
            </w:pPr>
            <w:r>
              <w:t>2509-MIROVNE MISIJE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26.628.491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24.045.564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24.037.318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100,0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90,3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jc w:val="left"/>
            </w:pPr>
            <w:r>
              <w:t>2606-KORIŠTENJE ORUŽANIH SNAGA ZA POMOĆ CIVILNIM INSTITUCIJAMA I STANOVNIŠTVU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18.468.604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21.225.494</w:t>
            </w:r>
          </w:p>
        </w:tc>
        <w:tc>
          <w:tcPr>
            <w:tcW w:w="2041" w:type="dxa"/>
          </w:tcPr>
          <w:p w:rsidR="00653B54" w:rsidRDefault="001E77CB">
            <w:pPr>
              <w:jc w:val="right"/>
            </w:pPr>
            <w:r>
              <w:t>20.222.111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95,3</w:t>
            </w:r>
          </w:p>
        </w:tc>
        <w:tc>
          <w:tcPr>
            <w:tcW w:w="1224" w:type="dxa"/>
          </w:tcPr>
          <w:p w:rsidR="00653B54" w:rsidRDefault="001E77CB">
            <w:pPr>
              <w:jc w:val="right"/>
            </w:pPr>
            <w:r>
              <w:t>109,5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3"/>
      </w:pPr>
      <w:r>
        <w:rPr>
          <w:rFonts w:cs="Times New Roman"/>
        </w:rPr>
        <w:t>2504 OPREMANJE, MODERNIZACIJA I IZGRADNJA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38"/>
        <w:gridCol w:w="2011"/>
        <w:gridCol w:w="2011"/>
        <w:gridCol w:w="2011"/>
        <w:gridCol w:w="1216"/>
        <w:gridCol w:w="1219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653B54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2504-OPREMANJE, MODERNIZACIJA I IZGRADNJA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432.688.337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553.918.589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548.991.637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99,1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126,9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Cilj 1. Unaprijediti materijalnu komponentu sposobnosti Oružanih snaga, izgraditi i modernizirati objekte i infrastrukturu</w:t>
      </w:r>
    </w:p>
    <w:p w:rsidR="00653B54" w:rsidRDefault="001E77CB">
      <w:pPr>
        <w:pStyle w:val="Heading8"/>
        <w:jc w:val="left"/>
      </w:pPr>
      <w:r>
        <w:t>Opis provedbe cilja programa</w:t>
      </w:r>
    </w:p>
    <w:p w:rsidR="00653B54" w:rsidRDefault="001E77CB">
      <w:r>
        <w:t>Za ostvarenje zadanih misija i zadaća Oružane snage moraju biti opremljene modernom opremom i naoružanjem. Uz opremanje, adaptiraju se postojeće građevine i infrastruktura i izgrađuju potrebni vojni kompleksi. Izgradnjom i adaptacijom građevina i infrastru</w:t>
      </w:r>
      <w:r>
        <w:t>kture postiže se planirani teritorijalni razmještaj snaga u vojnim objektima, povećava se kvaliteta života i rada djelatnika te unaprjeđuju prioritetne sposobnosti Oružanih snaga.</w:t>
      </w:r>
    </w:p>
    <w:p w:rsidR="00653B54" w:rsidRDefault="001E77CB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8"/>
        <w:gridCol w:w="2509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Nabavljeno naoružanje i oprema koji utječu na unaprjeđenje materijalne komponente sposobnosti Oružanih snaga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Fokusiranjem na nabavu ključne opreme za unaprjeđenje materijalne komponente sposobnosti Oružanih snaga postići optimum između potreba i financijskih sredstava.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Provedena izgradnja, rekonstrukcija i adaptacija koja utječe</w:t>
            </w:r>
            <w:r>
              <w:rPr>
                <w:rFonts w:cs="Times New Roman"/>
              </w:rPr>
              <w:t xml:space="preserve"> na poboljšanje standarda, sigurnosti i energetske učinkovitosti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Fokusiranjem na izgradnju, rekonstrukciju i adaptaciju građevina kojom se poboljšavaju standardi sigurnosti života i rada ljudi, smještaja i skladištenja materijalno tehničkih sredstava te en</w:t>
            </w:r>
            <w:r>
              <w:rPr>
                <w:rFonts w:cs="Times New Roman"/>
              </w:rPr>
              <w:t>ergetska učinkovitost građevina postići optimum između potreba i financijskih sredstava.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A545042 OPREMANJE MATERIJALNO TEHNIČKIM SREDSTVIMA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A545042-OPREMANJE MATERIJALNO TEHNIČKIM SREDSTVIMA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40.567.327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132.951.943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133.901.844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100,7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330,1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zbrinjavanju, Odluka o davanju suglasnosti Ministarstvu obrane za preuzimanje obveza na teret sredstava državnog proračuna Republike Hrvatske u 2023. i 2024. u svrhu opremanja helikopterima Kiowa Warrior s pripadaju</w:t>
      </w:r>
      <w:r>
        <w:t>ćim sustavima, Odluka o davanju suglasnosti Ministarstvu obrane za preuzimanje obveza na teret sredstava državnog proračuna Republike Hrvatske u 2023. i 2024. za nabavu vojne terenske bolnice, Odluka o davanju suglasnosti Ministarstvu obrane za preuzimanje</w:t>
      </w:r>
      <w:r>
        <w:t xml:space="preserve"> obveza na teret sredstava državnog proračuna Republike Hrvatske u razdoblju od 2024. do 2026. godine za nabavu raketnog sustava protuzračne obrane kratkog dometa, Odluka o davanju suglasnosti Ministarstvu obrane za preuzimanje obveza na teret sredstava dr</w:t>
      </w:r>
      <w:r>
        <w:t>žavnog proračuna Republike Hrvatske u 2024. godini za nabavu jednokratnog protuoklopnog prijenosnog raketnog sustava RGW90.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Potreba za opremanjem materijalno tehničkim sredstvima proizlazi iz misija i zadaća Oružanih snaga Republike Hrvatske i preuzetih obveza u međunarodnoj obrambenoj suradnji. Opremanje materijalno tehničkim sredstvima provodi se radi unaprjeđenja materijalno</w:t>
      </w:r>
      <w:r>
        <w:t>g elementa sposobnosti za provedbu dodijeljenih zadaća grana i postrojbi Oružanih snaga. U okviru aktivnosti, prioritet je opremanje usmjereno na obranu suvereniteta Republike Hrvatske, kao i opremanje sredstvima neophodnim za realizaciju sposobnosti snaga</w:t>
      </w:r>
      <w:r>
        <w:t xml:space="preserve"> koje su deklarirane za sudjelovanje u operacijama i drugim aktivnostima NATO-a i Europske unije. </w:t>
      </w:r>
    </w:p>
    <w:p w:rsidR="00653B54" w:rsidRDefault="001E77CB">
      <w:r>
        <w:t xml:space="preserve">U izvršenju aktivnosti u 2024. godini najznačajnija utrošena sredstva odnose se na preuzete obveze za nabavu samohodnog višestrukog raketnog sustava HIMARS, </w:t>
      </w:r>
      <w:r>
        <w:t xml:space="preserve"> besposadnog zrakoplovnog sustava Bayraktar,  modernizaciju radarskog sustava AN/FPS-117, raketnog sustava protuzračne obrane kratkog dometa i pješačkog naoružanja i opreme. Preostala sredstva odnose se na nabavu ostalog naoružanja i opreme  (opreme i sust</w:t>
      </w:r>
      <w:r>
        <w:t>ava za zrakoplove i brodove, vozila. opreme za taborovanje, opreme za NBK zaštitu, elektroničke opreme, inženjerijske opreme, zdravstvene, sportske, opskrbne, uredske i  ostale razne opreme, na leasing vozila i podmirenje administrativnih obveza članstva u</w:t>
      </w:r>
      <w:r>
        <w:t xml:space="preserve"> NATO Support and Procurement Agency (NSPA). Izvršenje ove aktivnosti nije usporedivo s prethodnom godinom, jer opremanje nije kontinuirani rashod i razlikuje se po godinama. Ostvarene vrijednosti pokazatelja su veće od ciljanih uslijed iskazanih potreba i</w:t>
      </w:r>
      <w:r>
        <w:t xml:space="preserve"> redefiniranja prioriteta u opremanju.</w:t>
      </w:r>
    </w:p>
    <w:p w:rsidR="00653B54" w:rsidRDefault="001E77CB">
      <w:pPr>
        <w:pStyle w:val="Heading8"/>
        <w:jc w:val="left"/>
      </w:pPr>
      <w:r>
        <w:lastRenderedPageBreak/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2"/>
        <w:gridCol w:w="2517"/>
        <w:gridCol w:w="1012"/>
        <w:gridCol w:w="1016"/>
        <w:gridCol w:w="1126"/>
        <w:gridCol w:w="1016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nebojnih vozila u najmu predanih na uporabu u Oružane snage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Opremanjem Oružanih snaga poboljšat će se borbena spremnost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317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317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nabavljenog pješačkog  naoružanja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Opremanjem Oružanih snaga osigurava se spremnost i povećavaju standardi interoperabilnosti s NATO-om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1934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2366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A545049 OPSKRBA MATERIJALNIM SREDSTVIMA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A545049-OPSKRBA MATERIJALNIM SREDSTVIMA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71.949.153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71.606.400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67.100.436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93,7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93,3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 xml:space="preserve">Zakon o obrani, Zakon o službi u Oružanim snagama Republike Hrvatske, Pravilnik o materijalnom zbrinjavanju, Pravilnik o vojnim odorama, Pravilnik o prehrani pripadnika Oružanih snaga Republike Hrvatske, Odluka o davanju suglasnosti Ministarstvu obrane za </w:t>
      </w:r>
      <w:r>
        <w:t>preuzimanje obveza na teret sredstava državnog proračuna Republike Hrvatske u 2023. i 2024. godini za nabavu raketa Hydra za helikoptere OH-58D Kiowa Warrior, Odluka o davanju suglasnosti Ministarstvu obrane za preuzimanje obveza na teret sredstava državno</w:t>
      </w:r>
      <w:r>
        <w:t>g proračuna Republike Hrvatske u 2024. godini za nabavu streljiva putem Europske obrambene agencije, Odluka o davanju suglasnosti Ministarstvu obrane za preuzimanje obveza na teret sredstava državnog proračuna Republike Hrvatske u razdoblju od 2024. do 202</w:t>
      </w:r>
      <w:r>
        <w:t>6. godine za nabavu paketa verificiranog streljiva 155 mm za haubice PzH2000HRV.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Provedbom aktivnosti osigurava se kontinuirana opskrba materijalnim sredstvima i uslugama koje omogućavaju redovito funkcioniranje Oružanih snaga, opskrba ener</w:t>
      </w:r>
      <w:r>
        <w:t xml:space="preserve">gentima te opskrba ubojnim sredstvima. Osigurava se pravodobno, plansko i učinkovito upravljanje zalihama i potrebni kontinuitet u opskrbi.  </w:t>
      </w:r>
    </w:p>
    <w:p w:rsidR="00653B54" w:rsidRDefault="001E77CB">
      <w:r>
        <w:t>U 2024. godini nabavljena su ubojna sredstva u svrhu osiguranja potrebne borbene sposobnosti, dopune strateških pr</w:t>
      </w:r>
      <w:r>
        <w:t>ičuva i provedbu vježbi i obuke postrojbi Oružanih snaga. Nabavljeno je 9.147 kompleta prikrivnih odora i 787 kompleta službenih i svečanih odora, kao i ostali pojedinačni odjevni predmeti (košulje, čarape, donje rublje, kape, jakne, rukavice, vojnička obu</w:t>
      </w:r>
      <w:r>
        <w:t>ća, razna druga odjeća). Provedena je opskrba motornim benzinom, kerozinom i dizel gorivom radi osiguranja funkcioniranja logističkog sustava te potpore aktivnostima Oružanih snaga u zemlji i inozemstvu kao i potpori usvojenim NATO ciljevima sposobnosti. O</w:t>
      </w:r>
      <w:r>
        <w:t>sigurana je opskrba energentima za grijanje (toplom vodom, plinom, uljem za loženje) i električnom energijom te opskrba drugim materijalnim sredstvima i uslugama koje omogućuju redovno funkcioniranje (uredski i potrošni materijal, sredstva za čišćenje, sit</w:t>
      </w:r>
      <w:r>
        <w:t>ni inventar, usluge čišćenja). Osigurana je prehrana pripadnika Oružanih snaga (namirnice, usluge prehrane). Izvršenje aktivnosti manje je u odnosu na 2023. godinu uglavnom uslijed manjeg izvršenja za nabavu ubojnih sredstava.</w:t>
      </w:r>
    </w:p>
    <w:p w:rsidR="00653B54" w:rsidRDefault="001E77CB">
      <w:pPr>
        <w:pStyle w:val="Heading8"/>
        <w:jc w:val="left"/>
      </w:pPr>
      <w:r>
        <w:lastRenderedPageBreak/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6"/>
        <w:gridCol w:w="2511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</w:t>
            </w:r>
            <w:r>
              <w:t>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nabavljenih kompleta prikrivnih odora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Opremanjem prikrivnim odorama doprinosi se postizanju zahtijevane razine borbene opremljenosti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7000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9147</w:t>
            </w:r>
          </w:p>
        </w:tc>
        <w:bookmarkStart w:id="0" w:name="_GoBack"/>
        <w:bookmarkEnd w:id="0"/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nabavljenih kompleta službenih i svečanih odora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Opremanjem službenim i svečanim odorama doprinosi se postizanju propisanog standarda opremljenosti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1620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787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A545076 IZGRADNJA, REKONSTRUKCIJA I ADAPTACIJA OBJEKATA I INFRASTRUKTURE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893"/>
        <w:gridCol w:w="1965"/>
        <w:gridCol w:w="1965"/>
        <w:gridCol w:w="1965"/>
        <w:gridCol w:w="1205"/>
        <w:gridCol w:w="1213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A545076-IZGRADNJA, REKONSTRUKCIJA I ADAPTACIJA OBJEKATA I INFRASTRUKTURE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19.302.467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33.008.282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32.282.980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97,8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167,2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Zakon o gradnji, Uredba o vojnom graditeljstvu,  Pravilnik o materijalnom zbrinjavanju, Odluka o davanju suglasnosti Ministarstvu obrane za preuzimanje obveza na teret sredstava državnog proračuna Republike Hrvatske u 2024. godini za izvođe</w:t>
      </w:r>
      <w:r>
        <w:t>nje radova na izgradnji višenamjenske smještajne građevine u vojarni "Pukovnik Milivoj Halar" Dugo Selo.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Izgradnjom, rekonstrukcijom i adaptacijom objekata i infrastrukture omogućava se poboljšanje kvalitete prostora za život i rad djelatni</w:t>
      </w:r>
      <w:r>
        <w:t>ka Ministarstva obrane i pripadnika Oružanih snaga Republike Hrvatske te osigurava racionalno trošenje energije, zaštita okoliša i zaštita od požara. Postizanjem planiranog teritorijalnog razmještaja snaga u vojnim lokacijama te izgradnjom, rekonstrukcijom</w:t>
      </w:r>
      <w:r>
        <w:t xml:space="preserve"> i adaptacijom objekata i infrastrukture unapređuju se prioritetne sposobnosti Oružanih snaga.   </w:t>
      </w:r>
    </w:p>
    <w:p w:rsidR="00653B54" w:rsidRDefault="001E77CB">
      <w:r>
        <w:t>Izvršenje aktivnosti u 2024. obuhvatilo je izgradnju, rekonstrukciju i adaptaciju građevina i infrastrukture Ministarstva i Oružanih snaga. Pored izgradnje, r</w:t>
      </w:r>
      <w:r>
        <w:t>ekonstrukcije i adaptacije, izvršenje aktivnosti obuhvatilo je i rashode za nabavu sustava tehničke zaštite, opreme za grijanje i hlađenje, opreme za protupožarnu zaštitu, namještaja, geotopografskih karata i publikacija, izradu projektne dokumentacije, st</w:t>
      </w:r>
      <w:r>
        <w:t>ručni nadzor nad izgradnjom i rekonstrukcijom građevina, certificiranje stanova i vojnih lokacija, geodetsko katastarske usluge, usluge vještačenja, javnobilježničke pristojbe, ekološke usluge, obveze za praćenje stanja okoliša, komunalne usluge. Izvršenje</w:t>
      </w:r>
      <w:r>
        <w:t xml:space="preserve"> ove aktivnosti nije usporedivo s prethodnom godinom, jer dio aktivnosti koji se odnosi na izgradnju nije kontinuirani rashod i razlikuje se po godinama.</w:t>
      </w:r>
    </w:p>
    <w:p w:rsidR="00653B54" w:rsidRDefault="001E77CB">
      <w:pPr>
        <w:pStyle w:val="Heading8"/>
        <w:jc w:val="left"/>
      </w:pPr>
      <w:r>
        <w:lastRenderedPageBreak/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10"/>
        <w:gridCol w:w="2509"/>
        <w:gridCol w:w="1012"/>
        <w:gridCol w:w="1016"/>
        <w:gridCol w:w="1126"/>
        <w:gridCol w:w="1016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</w:t>
            </w:r>
            <w:r>
              <w:rPr>
                <w:rFonts w:cs="Times New Roman"/>
              </w:rPr>
              <w:t>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izgrađenih građevina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Izgradnjom građevina osigurat će se postavljeni standardi u smještaju osoblja i skladištenju materijalnih sredstava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izrađenih kompleta projektne dokumentacije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Izrada projektne dokumentacije preduvjet je za početak izgradnje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adaptiranih građevina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Adaptacijom građevina poboljšat će se smještajni uvjeti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K545043 BORBENO OKLOPNO VOZILO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K545043-BORBENO OKLOPNO VOZILO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5.578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1.302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1.301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99,9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23,3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Nastavkom opremanja borbenih oklopnih vozila daljinski upravljanom oružanom stanicom i prilagodbom borbenih oklopnih vozila za korištenje strojnice i auto</w:t>
      </w:r>
      <w:r>
        <w:t xml:space="preserve">matskog bacača granata poboljšavaju se sposobnosti Oružanih snaga Republike Hrvatske.   </w:t>
      </w:r>
    </w:p>
    <w:p w:rsidR="00653B54" w:rsidRDefault="001E77CB">
      <w:r>
        <w:t>Izvršenje u 2024. godini odnosilo se na naknade zaposlenima vezane uz provedbu projekta.</w:t>
      </w:r>
    </w:p>
    <w:p w:rsidR="00653B54" w:rsidRDefault="001E77CB">
      <w:pPr>
        <w:pStyle w:val="Heading4"/>
      </w:pPr>
      <w:r>
        <w:t>K545044 OBALNI OPHODNI BROD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Plan 2024. </w:t>
            </w:r>
            <w:r>
              <w:rPr>
                <w:rFonts w:cs="Times New Roman"/>
              </w:rPr>
              <w:t>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K545044-OBALNI OPHODNI BROD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348.665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5.570.339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5.520.223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99,1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1583,2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zbrinjavanju.</w:t>
      </w:r>
    </w:p>
    <w:p w:rsidR="00653B54" w:rsidRDefault="001E77CB">
      <w:pPr>
        <w:pStyle w:val="Heading8"/>
        <w:jc w:val="left"/>
      </w:pPr>
      <w:r>
        <w:lastRenderedPageBreak/>
        <w:t>Opis aktivnosti</w:t>
      </w:r>
    </w:p>
    <w:p w:rsidR="00653B54" w:rsidRDefault="001E77CB">
      <w:r>
        <w:t>Opremanjem Obalne straže Republike Hrvatske obalnim ophodnim brodovima poboljšat će se nadzor i zaštita prava i interesa Republike Hrvatske na Jadranskom moru. U mirnodopskim uvjetima brodovi će nadzirati poštivanje i nametati provedbu zako</w:t>
      </w:r>
      <w:r>
        <w:t>nskih propisa Republike Hrvatske na moru, podupirati druga državna tijela te stanovništvo u izvanrednim situacijama, provoditi akcije traganja i spašavanja sukladno Zakonu o obalnoj straži Republike Hrvatske. Projekt obuhvaća nabavu i stavljanje u operativ</w:t>
      </w:r>
      <w:r>
        <w:t xml:space="preserve">nu uporabu pet obalnih ophodnih brodova (1 prototip i četiri broda u seriji) za potrebe Obalne straže.  </w:t>
      </w:r>
    </w:p>
    <w:p w:rsidR="00653B54" w:rsidRDefault="001E77CB">
      <w:r>
        <w:t>Izvršenje u 2024. godini odnosilo se na završetak gradnje prvog broda iz serije te u manjem dijelu na nastavak gradnje ostalih brodova iz serije. Izvrš</w:t>
      </w:r>
      <w:r>
        <w:t>enje projekta nije usporedivo s prethodnom godinom, jer se dinamika realizacije projekta ne odvija ravnomjerno po godinama.</w:t>
      </w:r>
    </w:p>
    <w:p w:rsidR="00653B54" w:rsidRDefault="001E77CB">
      <w:pPr>
        <w:pStyle w:val="Heading4"/>
      </w:pPr>
      <w:r>
        <w:t>K545045 OPREMANJE VIŠENAMJENSKIM BORBENIM AVIONOM (VBA)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870"/>
        <w:gridCol w:w="1972"/>
        <w:gridCol w:w="1973"/>
        <w:gridCol w:w="1973"/>
        <w:gridCol w:w="1205"/>
        <w:gridCol w:w="1213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K545045-OPREMANJE VIŠENAMJENSKIM BORBENIM AVIONOM (VBA)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263.972.732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247.974.139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247.593.293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93,8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 xml:space="preserve">Zakon o obrani, Pravilnik o materijalnom zbrinjavanju, Odluka o nabavi višenamjenskoga borbenog aviona, Odluka o davanju suglasnosti Ministarstvu obrane za preuzimanje obveza na teret sredstava državnog proračuna Republike Hrvatske u razdoblju od 2022. do </w:t>
      </w:r>
      <w:r>
        <w:t>2026. godine za nabavu višenamjenskog borbenog aviona.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Opremanjem višenamjenskim borbenim avionom omogućit će se provedba postavljenih ciljeva zaštite suvereniteta i teritorijalne cjelovitosti Republike Hrvatske, što uključuje nadzor i zaštitu zračnog prostora. U projektu se provodi opremanje eskadrile u potpu</w:t>
      </w:r>
      <w:r>
        <w:t xml:space="preserve">nosti kompatibilne s NATO standardima.    </w:t>
      </w:r>
    </w:p>
    <w:p w:rsidR="00653B54" w:rsidRDefault="001E77CB">
      <w:r>
        <w:t>Izvršenje u 2024. godini odnosilo se na plaćanje obveza za avione i pripadajuću i opremu po sklopljenom tehničkom dogovoru i sklopljenim ugovorima, izradu projektne i tehničke dokumentacije i izgradnju građevina i</w:t>
      </w:r>
      <w:r>
        <w:t xml:space="preserve"> infrastrukture. Izvršenje projekta nije usporedivo s prethodnom godinom, jer se dinamika realizacije projekta ne odvija ravnomjerno po godinama.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6"/>
        <w:gridCol w:w="2510"/>
        <w:gridCol w:w="1013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</w:t>
            </w:r>
            <w:r>
              <w:rPr>
                <w:rFonts w:cs="Times New Roman"/>
              </w:rPr>
              <w:t>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aviona (kumulativ)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Opremanjem avionima unaprijedit će se sposobnost zaštite zračnog prostora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8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8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K545046 NATO INTEGRIRANI SUSTAV PROTUZRAČNE OBRANE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K545046-NATO INTEGRIRANI SUSTAV PROTUZRAČNE OBRANE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344.314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270.442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186.558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69,0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54,2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Integracijom sustava protuzračne obrane Republike Hrvatske u NATO sustav osigurava se nadzor i zaštita zračnog prostora. Projekt obuhvaća uvezivanje hrvatskog sustava za nadzor i zaštitu zračnog prostora u NATO integrirani sustav protuzračne i proturaketne</w:t>
      </w:r>
      <w:r>
        <w:t xml:space="preserve"> obrane (NATINAMDS) i NATO integrirani zrakoplovni sustav zapovijedanja i nadzora (ASBE). Republici Hrvatskoj će se kroz sustav omogućiti integracija u jedinstveni nadzor zračnog prometa (prostora), nadzor i kontrola zračnog prostora, zapovijedanje i nadzo</w:t>
      </w:r>
      <w:r>
        <w:t xml:space="preserve">r dodijeljenim zračnim snagama. Sustav je otvorene arhitekture i razvija se prema operativnim i tehničkim zahtjevima te se planira da će biti jedinstveni integrirani zrakoplovni sustav u NATO-u za sljedećih 15 do 20 godina.   </w:t>
      </w:r>
    </w:p>
    <w:p w:rsidR="00653B54" w:rsidRDefault="001E77CB">
      <w:r>
        <w:t>Najveći dio projekta financir</w:t>
      </w:r>
      <w:r>
        <w:t>a se iz NATO fondova (NSIP, NATO Security Investment Programme), a iz financijskog plana Ministarstva obrane osiguravaju se sredstva za dio opreme i graditeljskog uređenja, obuku djelatnika te plaćanje poreza na dodanu vrijednost za opremu i graditeljsko u</w:t>
      </w:r>
      <w:r>
        <w:t>ređenje koja se financira iz NATO fondova. Dio projekta koji se odnosi na NATINAMDS je završen, a dio koji se odnosi na ASBE se nastavlja. Projekt ASBE financira se u udjelu od 75% iz NSIP-a, a preostalih 25% uključujući porez na dodanu vrijednost financir</w:t>
      </w:r>
      <w:r>
        <w:t xml:space="preserve">a Ministarstvo obrane. </w:t>
      </w:r>
    </w:p>
    <w:p w:rsidR="00653B54" w:rsidRDefault="001E77CB">
      <w:r>
        <w:t>Izvršenje projekta u 2024. godini odnosilo se najvećim dijelom na plaćanje PDV-a na opremu koju nabavlja NCI agencija (NATO Communications and Information Agency), koja provodi projekt. Izvršenje projekta nije usporedivo s prethodno</w:t>
      </w:r>
      <w:r>
        <w:t>m godinom, jer se dinamika realizacije projekta ne odvija ravnomjerno po godinama. Izvršenje projekta manje je od plana i ostvarena vrijednost pokazatelja je manja od ciljane radi nerealiziranosti nabave komunikacijske vojne opreme za projekt ASBE zbog odg</w:t>
      </w:r>
      <w:r>
        <w:t>ode objave međunarodnog natječaja odnosno dinamika realizacije projekta ovisi o NATO agenciji koja provodi projekt.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12"/>
        <w:gridCol w:w="2505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Postotak nabavljene komunikacijske opreme - ASBE (kumulativ)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Integracijom sustava protuzračne obrane Republike Hrvatske u NATO sustav postiže se sposobnost nadzora i zaštite zračnog prostora.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42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7,1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K545077 OPREMANJE BORBENIM VOZILOM PJEŠAŠTVA NA GUSJENICAMA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K545077-OPREMANJE BORBENIM VOZILOM PJEŠAŠTVA NA GUSJENICAMA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21.960.452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58.191.631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58.107.315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99,9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264,6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zbrinjavanju, Odluka o nabavi borbenih vozila pješaštva Bradley, Odluka o dava</w:t>
      </w:r>
      <w:r>
        <w:t>nju suglasnosti Ministarstvu obrane za preuzimanje obveza na teret sredstava državnog proračuna Republike Hrvatske u razdoblju od 2023. do 2027. godine za nabavu borbenih vozila pješaštva Bradley.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Opremanje Oružanih snaga Republike Hrvatske borbenim vozilima pješaštva na gusjenicama provodi se s ciljem unaprjeđenja i razvoja potrebnih sposobnosti manevarskih snaga i snaga za potporu Hrvatske kopnene vojske, koje proizlaze iz obaveza na razini NATO-a</w:t>
      </w:r>
      <w:r>
        <w:t>. Opremanjem će se omogućiti zamjena borbenih vozila pješaštva vozilima zapadne proizvodnje, povećati vatrena moć i pokretljivost snaga te postići interoperabilnost oklopno- mehaniziranih postrojbi Hrvatske kopnene vojske sa snagama NATO-a. Projekt obuhvać</w:t>
      </w:r>
      <w:r>
        <w:t xml:space="preserve">a nabavu borbenih vozila Bradley putem donacije od Sjedinjenih Američkih Država te njihovo dovođenje u ispravno stanje i isporuku Oružanim snagama na uporabu, prilagodbu infrastrukture te ostale troškove projekta </w:t>
      </w:r>
    </w:p>
    <w:p w:rsidR="00653B54" w:rsidRDefault="001E77CB">
      <w:r>
        <w:t>Izvršenje projekta u 2024. godini odnosilo</w:t>
      </w:r>
      <w:r>
        <w:t xml:space="preserve"> se na ugovorenu dinamiku plaćanja realizacije projekta prema Vladi Sjedinjenih Američkih Država, građevinske radove za rekonstrukciju i sanaciju skladišnih građevina te prilagodbu i uređenje radioničkih prostora, kao i na plaćanje PDV-a za isporučene robe</w:t>
      </w:r>
      <w:r>
        <w:t xml:space="preserve"> i usluge. Ostvarena vrijednost manja je od ciljane jer dinamika isporuke prvih vozila na uporabu Oružanim snagama redefinirana na početak 2025 godine.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6"/>
        <w:gridCol w:w="2510"/>
        <w:gridCol w:w="1013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</w:t>
            </w:r>
            <w:r>
              <w:rPr>
                <w:rFonts w:cs="Times New Roman"/>
              </w:rPr>
              <w:t xml:space="preserve">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borbenih vozila pješaštva Bradley isporučenih Oružanim snagama (kumulativ)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Opremanjem Oružanih snaga borbenim vozilima pješaštva Bradley razvijaju se i unaprjeđuju sposobnosti postrojbi Hrvatske kopnen</w:t>
            </w:r>
            <w:r>
              <w:rPr>
                <w:rFonts w:cs="Times New Roman"/>
              </w:rPr>
              <w:t>e vojske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8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K545078 OPREMANJE VIŠENAMJENSKIM HELIKOPTEROM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871"/>
        <w:gridCol w:w="1976"/>
        <w:gridCol w:w="1969"/>
        <w:gridCol w:w="1969"/>
        <w:gridCol w:w="1207"/>
        <w:gridCol w:w="121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K545078-OPREMANJE VIŠENAMJENSKIM HELIKOPTEROM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14.237.649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4.344.111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4.297.688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98,9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30,2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zbrinjavanju, Odluka o davanju suglasnosti Ministarstvu obrane za preuzimanje obveza na teret s</w:t>
      </w:r>
      <w:r>
        <w:t>redstava državnog proračuna Republike Hrvatske u razdoblju od 2024. do 2026. godine za opremanje Hrvatske vojske helikopterima UH-60M Black Hawk.</w:t>
      </w:r>
    </w:p>
    <w:p w:rsidR="00653B54" w:rsidRDefault="001E77CB">
      <w:pPr>
        <w:pStyle w:val="Heading8"/>
        <w:jc w:val="left"/>
      </w:pPr>
      <w:r>
        <w:lastRenderedPageBreak/>
        <w:t>Opis aktivnosti</w:t>
      </w:r>
    </w:p>
    <w:p w:rsidR="00653B54" w:rsidRDefault="001E77CB">
      <w:r>
        <w:t>Opremanje Oružanih snaga Republike Hrvatske višenamjenskim helikopterima provodi se s ciljem unapređenja i razvoja potrebnih helikopterskih sposobnosti koje će se koristiti za zaštitu suvereniteta i teritorijalnog integriteta, za sudjelovanje u međunarodni</w:t>
      </w:r>
      <w:r>
        <w:t xml:space="preserve">m misijama i operacijama te pomoći civilnim institucijama. U 2024. godini započeto je opremanje s dodatnih osam helikoptera UH-60M Black Hawk, no za ovo dodatno opremanje Ministarstvo obrane nije imalo izvršenih rashoda u 2024. godini.  </w:t>
      </w:r>
    </w:p>
    <w:p w:rsidR="00653B54" w:rsidRDefault="001E77CB">
      <w:r>
        <w:t>Izvršenje projekta</w:t>
      </w:r>
      <w:r>
        <w:t xml:space="preserve"> u 2024. godini odnosilo se na opremu za helikoptere i nastavak izgradnje  hangara s pripadajućom infrastrukturom na letjelištu Lučko. Izvršenje projekta nije usporedivo s prethodnom godinom, jer se dinamika realizacije projekta ne odvija ravnomjerno po go</w:t>
      </w:r>
      <w:r>
        <w:t>dinama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4"/>
        <w:gridCol w:w="2513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helikoptera predanih na uporabu u Oružane snage (kumulativ)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Opremanjem helikopterima razvi</w:t>
            </w:r>
            <w:r>
              <w:rPr>
                <w:rFonts w:cs="Times New Roman"/>
              </w:rPr>
              <w:t>t će se potrebna sposobnost za zaštitu suvereniteta i teritorijalnog integriteta, sudjelovanje u međunarodnim misijama te pomoći civilnim institucijama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3"/>
      </w:pPr>
      <w:r>
        <w:rPr>
          <w:rFonts w:cs="Times New Roman"/>
        </w:rPr>
        <w:t>2505 UPRAVLJANJE, OBRAZOVANJE I POTPORA OSOBLJU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653B54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2505-UPRAVLJANJE, OBRAZOVANJE I POTPORA OSOBLJU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436.340.051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550.810.642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549.955.494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126,0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Cilj 1. Dostići ciljanu obrazovnu i dobnu strukturu</w:t>
      </w:r>
    </w:p>
    <w:p w:rsidR="00653B54" w:rsidRDefault="001E77CB">
      <w:pPr>
        <w:pStyle w:val="Heading8"/>
        <w:jc w:val="left"/>
      </w:pPr>
      <w:r>
        <w:t>Opis provedbe cilja programa</w:t>
      </w:r>
    </w:p>
    <w:p w:rsidR="00653B54" w:rsidRDefault="001E77CB">
      <w:r>
        <w:t xml:space="preserve">Veličina Oružanih snaga mora biti primjerena sigurnosnim izazovima. Planirana veličina i struktura proizlazi iz realne procjene prijetnji i rizika, misija i zadaća, preuzetih obveza u međunarodnim okvirima. Razvoj i održavanje vojnih sposobnosti zahtijeva </w:t>
      </w:r>
      <w:r>
        <w:t xml:space="preserve">promjene u strukturi osoblja, uvođenje novih kategorija osoblja te održavanje zadovoljavajuće strukture osoblja. Dostizanje ciljane organizacijske, obrazovne i dobne strukture Ministarstva obrane i Oružanih snaga postiže se planskim pribavljanjem osoblja, </w:t>
      </w:r>
      <w:r>
        <w:t>izobrazbom i profesionalnim razvojem te planskim izdvajanjem i tranzicijom osoblja. U2024. godini povećan je prijem u službu, no nije bio u okviru ciljanih vrijednosti, što je uz izlaz vojnika iz djelatne vojne službe rezultirao manjom popunjenosti od oček</w:t>
      </w:r>
      <w:r>
        <w:t>ivane, te utjecalo na povećanje dobne strukture zaposlenih.</w:t>
      </w:r>
    </w:p>
    <w:p w:rsidR="00653B54" w:rsidRDefault="001E77CB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4"/>
        <w:gridCol w:w="2509"/>
        <w:gridCol w:w="1016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Postizanje optimalne dobne strukture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Dobna struktura osoblja treba biti u okvirima koji omogućavaju obavljanje poslova i zadaća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Prosječna dob u godinama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39,1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38,5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39,9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Postizanje i zadržavanje potrebne obrazovne strukture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Obrazovna struktura osoblja odgovara zahtjevima ustrojbenih mjesta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A545052 TROŠKOVI OSOBLJA I PERSONALNA POTPORA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A545052-TROŠKOVI OSOBLJA I PERSONALNA POTPORA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433.013.742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546.595.418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545.794.785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99,9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126,0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Zakon o službi u Oružanim snagama Republike Hrvatske, Zakon o državnim službenicima, Zakon o radu, Zakon o mirovinskom osiguranju, Zakon o pravima iz mirovinskog osiguranja djelatnih vojnih osoba, policijskih službenika i ovlaštenih služben</w:t>
      </w:r>
      <w:r>
        <w:t>ih osoba, Zakon o obveznom zdravstvenom osiguranju, Zakon o doprinosima za obvezna  osiguranja,  Zakon  o  porezu  na  dohodak,  Kolektivni ugovor za državne službenike i namještenike, Uredba o vrijednosti koeficijenta osobnog čina  za izračun plaće djelat</w:t>
      </w:r>
      <w:r>
        <w:t>ne vojne osobe, Uredba o utvrđivanju dužnosti djelatnih vojnih osoba na kojima se staž osiguranja računa s povećanim trajanjem i načinu računanja toga staža, Uredba o nazivima radnih mjesta, uvjetima za raspored i koeficijentima za obračun plaće u državnoj</w:t>
      </w:r>
      <w:r>
        <w:t xml:space="preserve"> službi, Pravilnik o dodacima na plaću djelatnih vojnih osoba, Pravilnik o uvjetima i postupku ostvarivanja naknade troškova prijevoza, Pravilnik o iznosu, uvjetima i postupku  za ostvarivanje prava za jednokratnu novčanu pomoć, Pravilnik o standardima pro</w:t>
      </w:r>
      <w:r>
        <w:t xml:space="preserve">fesionalnog razvoja i postupku utvrđivanja nemogućnosti daljnjeg profesionalnog razvoja časnika, Pravilnik o standardima profesionalnog razvoja i postupku utvrđivanja nemogućnosti daljnjeg profesionalnog razvoja vojnika i dočasnika, Pravilnik o uvjetima i </w:t>
      </w:r>
      <w:r>
        <w:t>načinu ostvarivanja  prava na kolektivno osiguranje od posljedica nesretnog slučaja, Pravilnik o postupku ostvarivanja prava i troškovima pogreba, Pravilnik o utvrđivanju zdravstvene sposobnosti za vojnu službu, Pravilnik o postupku i ovlastima za ostvariv</w:t>
      </w:r>
      <w:r>
        <w:t xml:space="preserve">anje prava na zdravstvenu zaštitu i prava  na  zdravstveno osiguranje pripadnika Oružanih snaga Republike Hrvatske, Pravilnik o zdravstvenoj potpori u Oružanim snagama Republike Hrvatske, Odluka o veličini, sastavu i mobilizacijskom razvoju Oružanih snaga </w:t>
      </w:r>
      <w:r>
        <w:t>Republike Hrvatske, Odluka o rasporedu radnog vremena, Odluka o visini otpremnine za djelatne vojne osobe kojima služba prestane  zbog preustroja  ili smanjenja snaga s pravom na mirovinu, Odluka o visini otpremnine za državne službenike i namještenike Min</w:t>
      </w:r>
      <w:r>
        <w:t>istarstva obrane i Oružanih snaga Republike Hrvatske kojima služba prestaje, Odluka o naknadi za  stanovanje, Odluka o utvrđivanju programa tranzicije i zbrinjavanja i načinu njegove provedbe.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Aktivnost omogućava odgovarajuću popunu Oružani</w:t>
      </w:r>
      <w:r>
        <w:t xml:space="preserve">h snaga koja svojom veličinom i strukturom odgovara na realne procjene prijetnji, rizika, misija i zadaća te obvezama u međunarodnim okvirima. Potpora obuhvaća sve kategorije zaposlenih u Ministarstvu obrane i Oružanim snagama Republike Hrvatske. Troškovi </w:t>
      </w:r>
      <w:r>
        <w:t>osoblja obuhvaćaju plaće, doprinose, naknade i ostale rashode za zaposlene. Izdvajanjem osoblja osigurava se protočnost osoblja u obrambenom sustavu te se osigurava zahtijevana dobna struktura. Jedan od segmenata potpore je i uspostava standarda izdvajanja</w:t>
      </w:r>
      <w:r>
        <w:t xml:space="preserve"> osoblja, kao i potpore u prijelazu iz vojne karijere u civilnu. Personalna potpora obuhvaća područja skrbi o obitelji, psihološke potpore, zdravstvene skrbi, kineziološke aktivnosti, zaštitu zdravlja službenih životinja. Svrha personalne potpore je podiza</w:t>
      </w:r>
      <w:r>
        <w:t xml:space="preserve">nje kvalitete življenja pojedinca koja izravno utječe na prijam i zadržavanje osoblja te profesionalni razvoj svih kategorija osoblja.   </w:t>
      </w:r>
    </w:p>
    <w:p w:rsidR="00653B54" w:rsidRDefault="001E77CB">
      <w:r>
        <w:lastRenderedPageBreak/>
        <w:t>Izvršenje aktivnosti u 2024. godini obuhvatilo je rashode za zaposlene (plaće i doprinose za zaposlene, regres, nagrad</w:t>
      </w:r>
      <w:r>
        <w:t>u za uskrsne i božićne blagdane za zaposlene, isplatu dara za djecu, jubilarne nagrade, naknade za bolest, invalidnost i smrtni slučaj te otpremnine za izdvojeno osoblje), naknade za prijevoz na posao i s posla, naknade za odvojeni život i naknade za stano</w:t>
      </w:r>
      <w:r>
        <w:t>vanje, naknade za rad na terenu u zemlji i inozemstvu za djelatnike ministarstva, usluge prijevoza na posebno ugovorenim linijama za prijevoz djelatnika Ministarstva obrane i Oružanih snaga te na linijama javnog prijevoza, premije osiguranja djelatnih vojn</w:t>
      </w:r>
      <w:r>
        <w:t>ih osoba i kadeta od posljedica nesretnog slučaja, zdravstvene preglede djelatnika, nabavu lijekova, zdravstvenog, stomatološkog, veterinarskog i laboratorijskog materijala, te zaštitna i dezinfekcijska sredstva za djelatnike i radne prostore, stručno ospo</w:t>
      </w:r>
      <w:r>
        <w:t>sobljavanje u okviru programa tranzicije osoblja, seminare, savjetovanja, simpozije, isplatu novčane pomoći za djecu djelatnika umrlih u svezi s obavljanjem službe te troškove pogreba. Izvršenje je veće od prethodne godine, uslijed povećanja plaća i drugih</w:t>
      </w:r>
      <w:r>
        <w:t xml:space="preserve"> prava zaposlenih.</w:t>
      </w:r>
    </w:p>
    <w:p w:rsidR="00653B54" w:rsidRDefault="001E77CB">
      <w:pPr>
        <w:pStyle w:val="Heading4"/>
      </w:pPr>
      <w:r>
        <w:t>A545053 PRIBAVLJANJE OSOBLJA I IZOBRAZBA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A545053-PRIBAVLJANJE OSOBLJA I IZOBRAZBA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3.326.309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4.215.224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4.160.709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98,7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125,1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Zakon o službi u Oružanim snagama Republike Hrvatske, Zakon o državnim službenicima, Pravilnik o dragovoljnom vojnom osposobljavanju, Pravilnik o utvrđivanju zdravstvenih, psihičkih, tjelesnih i sigurnosnih uvjeta za prijam u službu u Oruža</w:t>
      </w:r>
      <w:r>
        <w:t>ne snage Republike Hrvatske, Pravilnik o utvrđivanju zdravstvene sposobnosti za vojnu službu, Pravilnik o načinu i postupku privlačenja, oglašavanja i odabira za prijam u djelatnu vojnu službu i kadetsku službu, Pravilnik o kriterijima i postupku odabira o</w:t>
      </w:r>
      <w:r>
        <w:t>soba koje se upućuju na osposobljavanje za časnika, Pravilnik o ugovornoj pričuvi, Pravilnik o načinu određivanja ratnog rasporeda te izdavanju, čuvanju, održavanju i vraćanju vojne opreme, Pravilnik o načinu vođenja evidencije vojnih obveznika i izvršavan</w:t>
      </w:r>
      <w:r>
        <w:t>ju vojne obveze, Pravilnik o izobrazbi, Pravilnik o vojnim specijalistima, Pravilnik o stranim jezicima u Oružanim snagama Republike Hrvatske.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Prijemom osoblja osigurava se postizanje ciljane organizacijske, obrazovne i personalne strukture</w:t>
      </w:r>
      <w:r>
        <w:t xml:space="preserve">. Proces prijema osoblja realizira se kroz dragovoljno vojno osposobljavanje, prijam u djelatnu vojnu službu, razvrstanu i ugovornu pričuvu, civilnu i funkcionalnu izobrazbu, inozemnu izobrazbu te kroz sveučilišne studijske programe i vojne stipendiste na </w:t>
      </w:r>
      <w:r>
        <w:t>diplomskim i poslijediplomskim studijima. Izobrazbom pripadnika Ministarstva obrane i Oružanih snaga Republike Hrvatske zadovoljava se potreba za stjecanjem zahtijevanih znanja, vještina i sposobnosti kompatibilnih zahtjevima članstva u Europskoj uniji i N</w:t>
      </w:r>
      <w:r>
        <w:t xml:space="preserve">ATO-u. Provode se sveučilišni preddiplomski i diplomski, integrirani preddiplomski i diplomski te poslijediplomski studijski programi, u suradnji sa sveučilišnom zajednicom. </w:t>
      </w:r>
    </w:p>
    <w:p w:rsidR="00653B54" w:rsidRDefault="001E77CB">
      <w:r>
        <w:t xml:space="preserve"> Izvršenje aktivnosti u 2024. godini obuhvatilo je stipendije i školarine za izob</w:t>
      </w:r>
      <w:r>
        <w:t>razbu kadeta kroz uspostavljene preddiplomske sveučilišne studijske programe u okviru Hrvatskog vojnog učilišta "Dr. Franjo Tuđman" u suradnji sa sveučilišnom zajednicom, a u skladu s propisima koji uređuju znanstvenu djelatnost i visoko obrazovanje u Repu</w:t>
      </w:r>
      <w:r>
        <w:t>blici Hrvatskoj, te za školovanje djelatnika Ministarstva obrane i Oružanih snaga na učilištima u Republici Hrvatskoj i za izobrazbu u inozemstvu. Izvršenje je također obuhvatilo naknade osobama izvan radnog odnosa (za prijevoz kandidatima za dolazak i odl</w:t>
      </w:r>
      <w:r>
        <w:t xml:space="preserve">azak sa zdravstvenog pregleda za dragovoljno osposobljavanje, naknade za prijevoz za upućivanje na dragovoljno osposobljavanje, naknade za prijevoz razvrstanih pričuvnika na priopćenje ratnog rasporeda i obuku, naknade ugovornim pričuvnicima i refundacije </w:t>
      </w:r>
      <w:r>
        <w:t xml:space="preserve">plaće poslodavcima čiji radnici su u pričuvi), kao i nagrade polaznicima praktične nastave učenika srednjih strukovnih škola, a sukladno Ugovoru sklopljenom sa Zrakoplovnom tehničkom školom Rudolf Perišin i Tehničkom školom u Zadru. U izvršenju aktivnosti </w:t>
      </w:r>
      <w:r>
        <w:t>obuhvaćena su i potrebna sredstva za podmirenje troškova redovnog rada i funkcioniranja područnih odjela i odsjeka za obranu na cijelom teritoriju Republike Hrvatske. Izvršenje aktivnosti veće je u odnosu na prethodnu godinu, a povećanje se odnosi na nakna</w:t>
      </w:r>
      <w:r>
        <w:t>de pričuvnicima te na stipendije i školarine. Odstupanje ostvarene vrijednosti od ciljane vrijednosti posljedica je smanjenog interesa za stipendiranu izobrazbu.</w:t>
      </w:r>
    </w:p>
    <w:p w:rsidR="00653B54" w:rsidRDefault="001E77CB">
      <w:pPr>
        <w:pStyle w:val="Heading8"/>
        <w:jc w:val="left"/>
      </w:pPr>
      <w:r>
        <w:lastRenderedPageBreak/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5"/>
        <w:gridCol w:w="2512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</w:t>
            </w:r>
            <w:r>
              <w:rPr>
                <w:rFonts w:cs="Times New Roman"/>
              </w:rPr>
              <w:t>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polaznika izobrazbe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Izobrazbom se postiže viši stupanj osposobljenosti za obnašanje dužnosti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1300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2134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obavljenih zdravstvenih pregleda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Zdravstvenim pregledima utvrđuje se sposobnost za vojnu službu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1600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1918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stipendiranih osoba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Stipendiranjem izobrazbe se postiže bolja obrazovna struktura osoblja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515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3"/>
      </w:pPr>
      <w:r>
        <w:rPr>
          <w:rFonts w:cs="Times New Roman"/>
        </w:rPr>
        <w:t>2506 KOMUNIKACIJSKO-IN</w:t>
      </w:r>
      <w:r>
        <w:rPr>
          <w:rFonts w:cs="Times New Roman"/>
        </w:rPr>
        <w:t>FORMACIJSKI SUSTAVI I POTPORA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70"/>
        <w:gridCol w:w="1942"/>
        <w:gridCol w:w="1943"/>
        <w:gridCol w:w="1943"/>
        <w:gridCol w:w="1199"/>
        <w:gridCol w:w="1209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653B54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2506-KOMUNIKACIJSKO-INFORMACIJSKI SUSTAVI I POTPORA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29.272.585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30.546.237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28.954.376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94,8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98,9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Cilj 1. Konsolidirati komunikacijsko-informacijski sustav i osigurati učinkovitu opću potporu</w:t>
      </w:r>
    </w:p>
    <w:p w:rsidR="00653B54" w:rsidRDefault="001E77CB">
      <w:pPr>
        <w:pStyle w:val="Heading8"/>
        <w:jc w:val="left"/>
      </w:pPr>
      <w:r>
        <w:t>Opis provedbe cilja programa</w:t>
      </w:r>
    </w:p>
    <w:p w:rsidR="00653B54" w:rsidRDefault="001E77CB">
      <w:r>
        <w:t>Konsolidacijom komunikacijsko-informacijskog sustava osigurava se unapređenje učinkovitosti informacijskih sustava uz potrebnu modernizaciju, promjenu aplikativnih rješenja, realizaciju deklariranih ciljeva snaga i uspostavu nove organizacijske komunikacij</w:t>
      </w:r>
      <w:r>
        <w:t>sko-informacijske strukture. U provedbi cilja osigurava se potpora u funkcioniranju Ministarstva obrane te primjena standarda i protokola kojima se osigurava učinkovito ispunjavanje operativnih zahtjeva na nacionalnoj razini te interoperabilnost prema NATO</w:t>
      </w:r>
      <w:r>
        <w:t>-u. Ostvarena vrijednost pokazatelja je manja od ciljane uslijed situacije na tržištu, odnosno potražnje za specijaliziranom opremom, što utječe na kompleksnost i dugotrajnost procesa nabave i isporuke.</w:t>
      </w:r>
    </w:p>
    <w:p w:rsidR="00653B54" w:rsidRDefault="001E77CB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432"/>
        <w:gridCol w:w="2439"/>
        <w:gridCol w:w="1181"/>
        <w:gridCol w:w="1009"/>
        <w:gridCol w:w="1126"/>
        <w:gridCol w:w="1009"/>
        <w:gridCol w:w="1010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</w:t>
            </w:r>
            <w:r>
              <w:rPr>
                <w:rFonts w:cs="Times New Roman"/>
              </w:rPr>
              <w:t>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Ostvarenje ciljane funkcionalnosti komunikacijsko –informacijskog sustava (kumulativ)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Modularno izgrađeni interoperabilni komunikacijsko-informacijski sustavi podižu učinkovitost obavljanja poslova i zadaća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 xml:space="preserve">%    </w:t>
            </w:r>
          </w:p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konsolidacije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72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71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lastRenderedPageBreak/>
        <w:t>A545054 OPREMANJE I MODERNIZACIJA KOMUNIKACIJSKO-INFORMACIJSKIM SUSTAVIMA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70"/>
        <w:gridCol w:w="1945"/>
        <w:gridCol w:w="1945"/>
        <w:gridCol w:w="1936"/>
        <w:gridCol w:w="1200"/>
        <w:gridCol w:w="1210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A545054-OPREMANJE I MODERNIZACIJA KOMUNIKACIJSKO-INFORMACIJSKIM SUSTAVIMA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10.587.185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10.454.254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9.860.857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94,3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93,</w:t>
            </w:r>
            <w:r>
              <w:rPr>
                <w:rFonts w:cs="Times New Roman"/>
              </w:rPr>
              <w:t>1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zbrinjavanju, Zakon o informacijskoj sigurnosti, Pravilnik o standardima organizacije i upravljanja područjem sigurnosti informacijskih sustava, Pravilnik o postupanju s kriptografskim dokumentima i kriptografskom o</w:t>
      </w:r>
      <w:r>
        <w:t>premom  za zaštitu klasificiranih podataka, Pravilnik o standardima sigurnosti informacijskih sustava, Uredba o mjerama informacijske sigurnosti.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Opremanjem i modernizacijom komunikacijsko-informacijskog sustava uspostavlja se integrirani i</w:t>
      </w:r>
      <w:r>
        <w:t xml:space="preserve"> cjeloviti način upravljanja obrambenim resursima. Aktivnost se realizira opremanjem i modernizacijom vojne informacijsko-komunikacijske opreme i sredstava, razvojem informacijskih sustava, opremanjem programskom podrškom (nabava softverskih licenci za kom</w:t>
      </w:r>
      <w:r>
        <w:t xml:space="preserve">ercijalni i infrastrukturni softver), opremanjem i modernizacijom računalne, mrežne i komunikacijske opreme te modernizacijom tehnološke osnovice.   </w:t>
      </w:r>
    </w:p>
    <w:p w:rsidR="00653B54" w:rsidRDefault="001E77CB">
      <w:r>
        <w:t>Izvršenje aktivnosti u 2024. godini obuhvatilo je nabavu komunikacijske opreme te vojne komunikacijske opr</w:t>
      </w:r>
      <w:r>
        <w:t xml:space="preserve">eme, nabavu računalne opreme  radi redovitog obnavljanja opreme i njene prilagodbe novim tehnologijama, nabavu i najam softverskih licenci te informatizaciju poslovnih procesa. Izvršenje je manje od plana jer nisu izvršeni rashodi iz ostvarenih prihoda od </w:t>
      </w:r>
      <w:r>
        <w:t>primljenih pomoći.</w:t>
      </w:r>
    </w:p>
    <w:p w:rsidR="00653B54" w:rsidRDefault="001E77CB">
      <w:pPr>
        <w:pStyle w:val="Heading4"/>
      </w:pPr>
      <w:r>
        <w:t>A545055 ODRŽAVANJE KOMUNIKACIJSKO-INFORMACIJSKIH SUSTAVA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70"/>
        <w:gridCol w:w="1941"/>
        <w:gridCol w:w="1942"/>
        <w:gridCol w:w="1942"/>
        <w:gridCol w:w="1201"/>
        <w:gridCol w:w="1210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A545055-ODRŽAVANJE KOMUNIKACIJSKO-INFORMACIJSKIH SUSTAVA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5.478.858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6.549.251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6.206.371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94,8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113,3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zbrinjavanju, Zakon o informacijskoj sigurnosti, Pravilnik o standardima organizacije i upravljanja područjem sigurnosti informacijskih sustava, Pravilnik o postupanju s kriptografskim dokumentima i kriptografskom o</w:t>
      </w:r>
      <w:r>
        <w:t>premom za zaštitu klasificiranih podataka, Pravilnik o standardima sigurnosti informacijskih sustava, Uredba o mjerama informacijske sigurnosti.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Izvršenje aktivnosti u 2024. godini odnosilo se na održavanje ključne infrastrukture, korisničkih računala, printera i ostale računalne periferije i komunikacijske opreme, redovito održavanje softverskih licenci te održavanje informacijskih sustava na upor</w:t>
      </w:r>
      <w:r>
        <w:t xml:space="preserve">abi. Osiguran je zakup vodova podatkovne i govorne mreže. Ostali rashodi aktivnosti </w:t>
      </w:r>
      <w:r>
        <w:lastRenderedPageBreak/>
        <w:t>odnose se na telekomunikacijske usluge: telefonske impulse i pretplate za telefonske priključke, korištenje telefonskih, satelitskih i digitalnih vodova te usluga interneta</w:t>
      </w:r>
      <w:r>
        <w:t>. Izvršenje je veće od 2023. godine uslijed kontinuiranog rasta cijena roba i usluga i uslijed većeg broja održavane opreme koja se kontinuirano nabavlja i slijedno ulazi u režim održavanja.</w:t>
      </w:r>
    </w:p>
    <w:p w:rsidR="00653B54" w:rsidRDefault="001E77CB">
      <w:pPr>
        <w:pStyle w:val="Heading4"/>
      </w:pPr>
      <w:r>
        <w:t>A545058 OPĆA POTPORA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Plan </w:t>
            </w:r>
            <w:r>
              <w:rPr>
                <w:rFonts w:cs="Times New Roman"/>
              </w:rPr>
              <w:t>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A545058-OPĆA POTPORA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903.097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1.327.800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997.006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75,1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110,4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Zakon o službi u Oružanim snagama Republike Hrvatske, Pravilnik o materijalnom zbrinjavanju.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Aktivnost osigurava potporu u funkcioniranju Ministarstva obrane i Oružanih snaga Republike Hrvatske. Obuhvaća rashode redovnog fun</w:t>
      </w:r>
      <w:r>
        <w:t>kcioniranja Ministarstva. Izvršenje aktivnosti u 2024. godini obuhvatilo je rashode za službena putovanja za djelatnike Ministarstva, energiju, uredski materijal, komunalne usluge, materijal i usluge za održavanje opreme i objekata za potrebe redovnog funk</w:t>
      </w:r>
      <w:r>
        <w:t>cioniranja dislociranih ustrojstvenih jedinica, poštarine svih ustrojstvenih jedinica Ministarstva te postrojbi Oružanih snaga, usluge prijevoza, troškove vještačenja, registracije vozila i naknade za okoliš, ostale rashode poslovanja (reprezentaciju, član</w:t>
      </w:r>
      <w:r>
        <w:t>arine, RTV pretplatu, rashode protokola), bankarske usluge i usluge platnog prometa, kamate za financijski leasing te zatezne kamate, naknade šteta na vozilima u prometu kao i podmirenje troškova po rješenjima Državne komisije za kontrolu postupaka javne n</w:t>
      </w:r>
      <w:r>
        <w:t>abave na žalbene postupke u procesu javne nabave. Izvršenje aktivnosti manje je od plana jer nisu izvršeni planirani rashodi iz ostvarenih vlastitih prihoda.</w:t>
      </w:r>
    </w:p>
    <w:p w:rsidR="00653B54" w:rsidRDefault="001E77CB">
      <w:pPr>
        <w:pStyle w:val="Heading4"/>
      </w:pPr>
      <w:r>
        <w:t>A545059 IZDAVAŠTVO I INFORMIRANJE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</w:t>
            </w:r>
            <w:r>
              <w:rPr>
                <w:rFonts w:cs="Times New Roman"/>
              </w:rPr>
              <w:t>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A545059-IZDAVAŠTVO I INFORMIRANJE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508.220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595.684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536.918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90,1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105,6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Aktivnost osigurava provedbu komunikacijske strategije, izdavanje literature i promidžbenih materijala koja je u funkciji opće potpore Ministarstva obrane i Oružanih snaga Republike Hrvatske i omogućava informiranje javnosti o aktivnostima, događajima i pr</w:t>
      </w:r>
      <w:r>
        <w:t xml:space="preserve">ojektima u sustavu.  </w:t>
      </w:r>
    </w:p>
    <w:p w:rsidR="00653B54" w:rsidRDefault="001E77CB">
      <w:r>
        <w:t>Izvršenje aktivnosti u 2024. godini odnosilo se najvećim dijelom na nabavu raznih vrsta promidžbenog materijala i državnih obilježja, na nabavu stručne literature,  na tiskanje časopisa "Hrvatski vojnik" i na razne druge tiskarske i g</w:t>
      </w:r>
      <w:r>
        <w:t>rafičke usluge, na objavu oglasa javne nabave u Narodnim novinama; na autorske  honorare za potrebe časopisa "Hrvatski vojnik", ugovore o djelu i izdavačku djelatnost. Izvršenje aktivnosti manje je od plana za 2024. godinu, a neizvršeni rashodi odnose se n</w:t>
      </w:r>
      <w:r>
        <w:t>a ugovore o djelu i autorske honorare, grafičke i tiskarske usluge i usluge promidžbe. Pokazatelj rezultata koji se odnosi na broj izdanja veći je od ciljane vrijednosti zbog većeg broja objavljenih video materijala.</w:t>
      </w:r>
    </w:p>
    <w:p w:rsidR="00653B54" w:rsidRDefault="001E77CB">
      <w:pPr>
        <w:pStyle w:val="Heading8"/>
        <w:jc w:val="left"/>
      </w:pPr>
      <w:r>
        <w:lastRenderedPageBreak/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16"/>
        <w:gridCol w:w="2504"/>
        <w:gridCol w:w="1011"/>
        <w:gridCol w:w="1016"/>
        <w:gridCol w:w="1126"/>
        <w:gridCol w:w="1016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</w:t>
            </w:r>
            <w:r>
              <w:t>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objava na internetskim komunikacijskim kanalima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Objavama se postiže informiranje javnosti o događajima u obrambenom sustavu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3800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3555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tiskanih, audio i video izdanja u Ministarstvu obrane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Tiskanim, audio i video izdanjima osigurava se potpora provedbi procesa razvoja doktrine, obuke i školovanja Oružanih snaga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15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112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A545071</w:t>
      </w:r>
      <w:r>
        <w:t xml:space="preserve"> SUDSKE PRESUDE I OVRHE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A545071-SUDSKE PRESUDE I OVRHE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4.965.854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5.476.411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5.463.706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110,0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Zakon o službi u Oružanim snagama Republike Hrvatske, Zakon o obveznim odnosima.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Izvršenje aktivnosti u 2024. godini odnosilo se na podmirenje obveza Ministarstva obrane prema pravomoćnim sudsk</w:t>
      </w:r>
      <w:r>
        <w:t>im presudama i ovrhama u imovinsko-pravnim sporovima i postupcima u kojima  je stranka Republika Hrvatska, Ministarstvo obrane. Izvršenje ove aktivnosti nije usporedivo s prethodnom godinom, jer se broj presuda i njihovi iznosi razlikuju po godinama.</w:t>
      </w:r>
    </w:p>
    <w:p w:rsidR="00653B54" w:rsidRDefault="001E77CB">
      <w:pPr>
        <w:pStyle w:val="Heading4"/>
      </w:pPr>
      <w:r>
        <w:t>A5450</w:t>
      </w:r>
      <w:r>
        <w:t>72 DUHOVNA SKRB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A545072-DUHOVNA SKRB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1.515.912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1.907.828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1.896.574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99,4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125,1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Zakon o službi u  Oružanim snagama Republike Hrvatske, Zakon o potvrđivanju Ugovora između Svete Stolice i Republike Hrvatske o dušobrižništvu katoličkih vjernika, pripadnika oružanih snaga i redarstvenih službi Republike Hrvatske, Pravilni</w:t>
      </w:r>
      <w:r>
        <w:t>k o ustrojstvu i djelovanju Vojnog ordinarijata u Republici Hrvatskoj, Pravilnik o materijalnom zbrinjavanju.</w:t>
      </w:r>
    </w:p>
    <w:p w:rsidR="00653B54" w:rsidRDefault="001E77CB">
      <w:pPr>
        <w:pStyle w:val="Heading8"/>
        <w:jc w:val="left"/>
      </w:pPr>
      <w:r>
        <w:lastRenderedPageBreak/>
        <w:t>Opis aktivnosti</w:t>
      </w:r>
    </w:p>
    <w:p w:rsidR="00653B54" w:rsidRDefault="001E77CB">
      <w:r>
        <w:t>Duhovna skrb ostvaruje se djelovanjem Vojnog ordinarijata u Republici Hrvatskoj kroz pastoralnu djelatnost koja uključuje organizi</w:t>
      </w:r>
      <w:r>
        <w:t xml:space="preserve">ranje seminara, duhovnih obnova, hodočašća u zemlji i inozemstvu, bračnih susreta te organiziranja aktivnosti za djecu djelatnika Ministarstva obrane i Oružanih snaga. Aktivnost obuhvaća opremanje i održavanje postojećih prostora. </w:t>
      </w:r>
    </w:p>
    <w:p w:rsidR="00653B54" w:rsidRDefault="001E77CB">
      <w:r>
        <w:t>Izvršenje u 2024. godini</w:t>
      </w:r>
      <w:r>
        <w:t xml:space="preserve"> najvećim dijelom se odnosilo na rashode za zaposlene za djelatnike Vojnog ordinarijata i vojne kapelane. Izvršenje je također obuhvatilo rashode za redovno funkcioniranje Vojnog ordinarijata (energenti, komunalne usluge, usluge čišćenja, uredski materijal</w:t>
      </w:r>
      <w:r>
        <w:t>, rashodi protokola, usluge prijevoza i smještaja, službena putovanja). Organizirano je nacionalno hodočašće Hrvatske vojske, policije i branitelja u Mariju Bistricu,  pokrajinska hodočašća Hrvatske vojske i policije u Pulu, Sinj, Ludbreg i Ilok te gransko</w:t>
      </w:r>
      <w:r>
        <w:t xml:space="preserve"> hodočašće Hrvatske kopnene vojske u Udbinu. Od međunarodnih aktivnosti provedeno je vojno hodočašće u Lourdes i hodočašće na Bobovac (Bosna i Hercegovina). Osim hodočašća organizirane su i druge pastoralne aktivnosti u vidu duhovnih vježbi za djelatnike M</w:t>
      </w:r>
      <w:r>
        <w:t xml:space="preserve">inistarstva i pripadnike Oružanih snaga. Izvršenje je veće od prethodne godine, najvećim dijelom zbog povećanja plaća i drugih prava zaposlenih. Ostvarena vrijednost pokazatelja veća je od ciljane jer je u 2024. godini organizirano hodočašće u Pulu, kao i </w:t>
      </w:r>
      <w:r>
        <w:t>dvije grupe duhovnih vježbi za kadete.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2"/>
        <w:gridCol w:w="2514"/>
        <w:gridCol w:w="1013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hodočašća i duhovnih vježbi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Organizacijom hodočašća i duhovnih vježbi skrbi se o duhovnim potrebama pripadnika Oružanih snaga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21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24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K545056 RAZVOJ KIBERNETIČKIH SPOSOBNOSTI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59"/>
        <w:gridCol w:w="2034"/>
        <w:gridCol w:w="2034"/>
        <w:gridCol w:w="2034"/>
        <w:gridCol w:w="1222"/>
        <w:gridCol w:w="1223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K545056-RAZVOJ KIBERNETIČKIH SPOSOBNOSTI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2.477.905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1.193.884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1.138.108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95,3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45,9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zbrinjavanju, Zakon o informacijskoj sigurnosti, Pravilnik o standardima organizacije i upravljanja područjem sigurnosti informacijskih sustava, Pravilnik o postupanju s kriptografskim dokumentima i kriptografskom o</w:t>
      </w:r>
      <w:r>
        <w:t>premom za zaštitu klasificiranih podataka, Pravilnik o standardima sigurnosti informacijskih sustava, Uredba o mjerama informacijske sigurnosti.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Projekt se provodi kroz modernizaciju i tehnološko zanavljanje informacijsko komunikacijskih su</w:t>
      </w:r>
      <w:r>
        <w:t>stava kako bi se osigurala kibernetička sigurnost i otpornost sustava. Provedbom projekta osigurat će se primjena standarda i protokola za ispunjavanje operativnih i sigurnosnih zahtjeva. Nastavljeno je dostizanje punih operativnih sposobnosti kibernetičko</w:t>
      </w:r>
      <w:r>
        <w:t xml:space="preserve">g operativnog središta, uporabe kibernetičkog poligona i sposobnosti timova za brzi odgovor na kibernetičke incidente.   </w:t>
      </w:r>
    </w:p>
    <w:p w:rsidR="00653B54" w:rsidRDefault="001E77CB">
      <w:r>
        <w:t>Izvršenje u 2024. godini odnosilo se na opremanje računalnom i mrežnom opremom, te na modernizaciju telefonskog sustava. Izvršenje pro</w:t>
      </w:r>
      <w:r>
        <w:t>jekta nije usporedivo s prethodnom godinom, jer se dinamika realizacije projekta ne odvija ravnomjerno po godinama.</w:t>
      </w:r>
    </w:p>
    <w:p w:rsidR="00653B54" w:rsidRDefault="001E77CB">
      <w:pPr>
        <w:pStyle w:val="Heading8"/>
        <w:jc w:val="left"/>
      </w:pPr>
      <w:r>
        <w:lastRenderedPageBreak/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11"/>
        <w:gridCol w:w="2506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</w:t>
            </w:r>
            <w:r>
              <w:rPr>
                <w:rFonts w:cs="Times New Roman"/>
              </w:rPr>
              <w:t>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Implementacija sustava za razmjenu klasificiranih podataka po lokacijama (kumulativ)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Sustavom za razmjenu klasificiranih podataka podiže se razina ispunjavanja sigurnosnih zahtjeva za prijenos podataka na nacionalnoj razini i prema NATO-u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 lokacija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27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27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3"/>
      </w:pPr>
      <w:r>
        <w:rPr>
          <w:rFonts w:cs="Times New Roman"/>
        </w:rPr>
        <w:t>2507 OBUKA I LOGISTIČKA POTPORA ORUŽANIH SNAGA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653B54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2507-OBUKA I LOGISTIČKA POTPORA ORUŽANIH SNAGA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67.242.236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75.584.249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74.169.365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98,1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110,3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Cilj 1. Osigurati obučenost, uvježbanost i logističku održivost</w:t>
      </w:r>
    </w:p>
    <w:p w:rsidR="00653B54" w:rsidRDefault="001E77CB">
      <w:pPr>
        <w:pStyle w:val="Heading8"/>
        <w:jc w:val="left"/>
      </w:pPr>
      <w:r>
        <w:t>Opis provedbe cilja programa</w:t>
      </w:r>
    </w:p>
    <w:p w:rsidR="00653B54" w:rsidRDefault="001E77CB">
      <w:r>
        <w:t>Oružane snage moraju biti sposobne odgovoriti na sigurnosne izazove i ugroze te imati sposobnost nadzora teritorija Republike Hrvatske, odvraćanja od potencijalne agresije i provođenja borbenih operacija. Oružane snage moraju biti sposobne ostvarivati svoj</w:t>
      </w:r>
      <w:r>
        <w:t>e misije i zadaće, moraju biti kvalitetno obučene i posjedovati ispravnu opremu i naoružanje u skladu s potrebama i mogućnostima.</w:t>
      </w:r>
    </w:p>
    <w:p w:rsidR="00653B54" w:rsidRDefault="001E77CB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15"/>
        <w:gridCol w:w="2502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</w:t>
            </w:r>
            <w:r>
              <w:rPr>
                <w:rFonts w:cs="Times New Roman"/>
              </w:rPr>
              <w:t>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Dostizanje zahtijevane razine borbene spremnosti pojedinaca, postrojbi i zapovjedništava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Dostizanje stupnja borbene spremnosti Oružanih snaga omogućuje učinkovito obavljanje zadaća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Ocjena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Borbeno spreman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Borbeno spreman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Borbeno spreman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A545060 OBUKA I VJEŽBE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A545060-OBUKA I VJEŽBE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13.745.600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11.194.778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10.939.266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97,7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79,6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lastRenderedPageBreak/>
        <w:t>Zakonske i druge pravne osnove</w:t>
      </w:r>
    </w:p>
    <w:p w:rsidR="00653B54" w:rsidRDefault="001E77CB">
      <w:r>
        <w:t>Zakon o obrani, Zakon o službi u Oružanim snagama Republike Hrvatske, Zakon o sustavu domovinske sigurnosti, Strategija nacionalne sigurnosti, Strateški pregled obrane, Doktrina obuke Oružanih snaga Republike Hrvatske, Uputa o vježbama u Oružanim snagama R</w:t>
      </w:r>
      <w:r>
        <w:t>epublike Hrvatske, Uputa za razvoj naučenih lekcija, Pravilnik o materijalnom zbrinjavanju, Pravilnik o dragovoljnom vojnom osposobljavanju, NATO Military Training and Exercise Programme (MTEP), Smjernice za obuku i vježbe u Oružanim snagama Republike Hrva</w:t>
      </w:r>
      <w:r>
        <w:t>tske, Odluka o naknadi za posebne oblike rada u službi.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Obuka djelatnog sastava je najvažnija kontinuirana zadaća Oružanih snaga Republike Hrvatske u miru i provodi se redovito za sve pripadnike Oružanih snaga. Sastoji se od obuke pojedinac</w:t>
      </w:r>
      <w:r>
        <w:t>a kroz obuku za stjecanje vojno-stručnih specijalnosti u rodovima, službama i strukama i funkcionalne obuke (osposobljavanje za dužnosti, odnosno razvoj vještina i znanja pojedinaca), zajedničke obuke (obuka postrojbi, stožera i zapovjedništava) i preduput</w:t>
      </w:r>
      <w:r>
        <w:t xml:space="preserve">ne obuke za međunarodne misije i operacije. Obukom Oružanih snaga postiže se potrebna razina borbene spremnosti te se razvijaju sposobnosti potrebne za obavljanje njihovih misija i zadaća.   </w:t>
      </w:r>
    </w:p>
    <w:p w:rsidR="00653B54" w:rsidRDefault="001E77CB">
      <w:r>
        <w:t>U 2024. godini Oružane snage provele su 405 obučnih aktivnosti i</w:t>
      </w:r>
      <w:r>
        <w:t xml:space="preserve"> 55 vježbi (od čega 47 međunarodnih) na kojima je sudjelovalo 2906 pripadnika Oružanih snaga. Provedena je obuka  za sudjelovanje u međunarodnim misijama i operacijama pod okriljem Ujedinjenih naroda, NATO-a i Europske unije. Dragovoljno vojno osposobljava</w:t>
      </w:r>
      <w:r>
        <w:t xml:space="preserve">nje provedeno je u 4 uputna roka, a osposobljavanje je uspješno završilo 665 ročnika. Provedena je specijalistička vojna obuka koju je završilo 295 polaznika. Provedena je obuka za razvoj vođa, predmobilizacijska obuka postrojbi razvrstane pričuve i obuka </w:t>
      </w:r>
      <w:r>
        <w:t>na sustavima naoružanja i opreme.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9"/>
        <w:gridCol w:w="2508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provedenih obučnih aktivnosti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Provedba svih oblika obuke u cilju dostizanja obučnih standarda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550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405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izvršenih vježbi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Provedba vojnih vježbi u svrhu dostizanja i održavanja spremnosti Oružanih snaga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60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55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obučenih dragovoljnih ročnika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Provedba obuke dragovoljnih ročnika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665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A545061 ODRŽAVANJE MATERIJALNIH SREDSTAVA I SUSTAVA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Indeks izvršenje </w:t>
            </w:r>
            <w:r>
              <w:rPr>
                <w:rFonts w:cs="Times New Roman"/>
              </w:rPr>
              <w:t>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A545061-ODRŽAVANJE MATERIJALNIH SREDSTAVA I SUSTAVA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39.952.058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49.662.758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48.974.217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98,6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122,6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zbrinjavanju, Uputa o održavanju materijalnih sredstava u Oružanim snagama Republike Hrvatske.</w:t>
      </w:r>
    </w:p>
    <w:p w:rsidR="00653B54" w:rsidRDefault="001E77CB">
      <w:pPr>
        <w:pStyle w:val="Heading8"/>
        <w:jc w:val="left"/>
      </w:pPr>
      <w:r>
        <w:lastRenderedPageBreak/>
        <w:t>Opis aktivnosti</w:t>
      </w:r>
    </w:p>
    <w:p w:rsidR="00653B54" w:rsidRDefault="001E77CB">
      <w:r>
        <w:t>Održavanje materijalno-tehničkih sredstava i sustava je skup aktivnosti kojima se oni zadržavaju ili vra</w:t>
      </w:r>
      <w:r>
        <w:t>ćaju u stanje ispravnosti i pouzdanosti radi očuvanja sposobnosti snaga za provedbu zadaća. Planskim korištenjem raspoloživih kapaciteta za održavanje u Oružanim snagama te gospodarskim kapacitetima u zemlji i inozemstvu, uz primjenu propisanih mjera i pos</w:t>
      </w:r>
      <w:r>
        <w:t>tupaka, postiže se i održava ispravnost sredstava. Odabrane metode i postupci održavanja materijalnih sredstava i sustava trebaju proizvesti optimalni učinak na ukupne sposobnosti Oružanih snaga. Osigurava se ispravnost i pouzdanost materijalno-tehničkih s</w:t>
      </w:r>
      <w:r>
        <w:t>redstava i sustava s težištem na održavanju sredstava bitnih za provedbu redovnih zadaća postrojbi. Održavanjem ubojitih sredstava osigurava se produljenje vijeka njihove uporabe te se stvaraju uvjeti za primjenu propisanih mjera pirotehničke sigurnosti, z</w:t>
      </w:r>
      <w:r>
        <w:t xml:space="preserve">aštite na radu, zaštite od požara i zaštite okoliša pri skladištenju, čuvanju, rukovanju, prevoženju, uporabi i održavanju zaliha.   </w:t>
      </w:r>
    </w:p>
    <w:p w:rsidR="00653B54" w:rsidRDefault="001E77CB">
      <w:r>
        <w:t xml:space="preserve">U 2024. godini održavanje naoružanja i opreme provedeno s težištem na održavanju ključnih borbenih sredstava. Nastavljena </w:t>
      </w:r>
      <w:r>
        <w:t>je generalna revizija tenkova M-84. Provedeno je redovno održavanje borbenih oklopnih vozila PATRIA. Provedeno je održavanje haubica PzH 2000 i haubica 122 mm i topova 130 mm. Provedeno je održavanje helikoptera Mi-171Sh, OH-58D Kiowa, UH-60M Black Hawk, B</w:t>
      </w:r>
      <w:r>
        <w:t>ell i aviona Rafale, MiG-21, CL-415, AT-802, PC- 9, Z-242L, provedeno je redovno održavanje drugih letjelica, mjerno-dijagnostičke opreme, kao i radarskog sustava FPS-117. Provedeno je održavanje na 18 brodova te provedeno redovno održavanje drugih plovila</w:t>
      </w:r>
      <w:r>
        <w:t>, brodskih sustava naoružanja, brodskih elektroničkih sustava. Nastavljena je optimizacija zaliha ubojnih sredstava kroz održavanje perspektivnih sredstava i smanjenje zaliha neperspektivnih i neispravnih ubojnih sredstava. Provedeno je održavanje inženjer</w:t>
      </w:r>
      <w:r>
        <w:t>ijskih sredstava i opreme, neborbene tehnike i sredstava opće namjene te transportnih sredstava. Izvršenje aktivnosti obuhvatilo je i rashode za prometnu potporu, registraciju i osiguranje vozila. Izvršenje aktivnosti veće je od prethodne godine uslijed ve</w:t>
      </w:r>
      <w:r>
        <w:t>ćeg obima održavanja i porasta cijena roba i usluga.</w:t>
      </w:r>
    </w:p>
    <w:p w:rsidR="00653B54" w:rsidRDefault="001E77CB">
      <w:pPr>
        <w:pStyle w:val="Heading4"/>
      </w:pPr>
      <w:r>
        <w:t>A545062 ODRŽAVANJE GRAĐEVINA I INFRASTRUKTURE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893"/>
        <w:gridCol w:w="1965"/>
        <w:gridCol w:w="1965"/>
        <w:gridCol w:w="1965"/>
        <w:gridCol w:w="1205"/>
        <w:gridCol w:w="1213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A545062-ODRŽAVANJE GRAĐEVINA I INFRASTRUKTURE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13.544.578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14.726.713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14.255.881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96,8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105,3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zbrinjavanju, Zakon o gradnji, Zakon o zaštiti okoliša, Zakon o zaštiti prirode, Zakon o zaštiti na radu, Zakon o zaštiti od požara, Zakon o održivom gospodarenju otpadom.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Aktivnost obuhvaća održavan</w:t>
      </w:r>
      <w:r>
        <w:t xml:space="preserve">je građevina i infrastrukture, provedbu mjera zaštite od požara, zaštite na radu, kao i zaštite okoliša. Provedba aktivnosti osigurava tehničku ispravnost građevina i uređenost radnog prostora, propisane higijenske, tehničke i sigurnosne uvjete za boravak </w:t>
      </w:r>
      <w:r>
        <w:t xml:space="preserve">i rad djelatnika te održavanje i skladištenje materijalne imovine. Sustavnim i kontinuiranim održavanjem građevina i infrastrukture otklanjaju se nedostaci koji zahtijevaju dodatna ulaganja na građevinama izvan redovitog održavanja. </w:t>
      </w:r>
    </w:p>
    <w:p w:rsidR="00653B54" w:rsidRDefault="001E77CB">
      <w:r>
        <w:t>Izvršenje aktivnosti u</w:t>
      </w:r>
      <w:r>
        <w:t xml:space="preserve"> 2024. godini obuhvatilo je redovno održavanje građevina i infrastrukture, hitne intervencije, provođenje zakonskih obveza ispitivanja, pregleda i održavanja iz područja termoenergetike, elektroenergetike, zaštite od požara, zaštite na radu, zaštite okoliš</w:t>
      </w:r>
      <w:r>
        <w:t xml:space="preserve">a te redovno podmirenje obveza po komunalnim uslugama. Obavljeni su sanacijski radovi, radovi na uređenju objekata i infrastrukture na vojnim lokacijama. Izvršenje aktivnosti veće je od prethodne godine uglavnom uslijed porasta cijena materijala, radova i </w:t>
      </w:r>
      <w:r>
        <w:t>usluga u građevinskom sektoru.</w:t>
      </w:r>
    </w:p>
    <w:p w:rsidR="00653B54" w:rsidRDefault="001E77CB">
      <w:pPr>
        <w:pStyle w:val="Heading3"/>
      </w:pPr>
      <w:r>
        <w:rPr>
          <w:rFonts w:cs="Times New Roman"/>
        </w:rPr>
        <w:lastRenderedPageBreak/>
        <w:t>2508 MEĐUNARODNA SURADNJA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03"/>
        <w:gridCol w:w="2021"/>
        <w:gridCol w:w="2021"/>
        <w:gridCol w:w="2021"/>
        <w:gridCol w:w="1219"/>
        <w:gridCol w:w="1221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653B54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2508-MEĐUNARODNA SURADNJA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15.441.400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13.677.409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13.589.766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99,4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88,0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Cilj 1. Unaprijediti međunarodnu obrambenu suradnju</w:t>
      </w:r>
    </w:p>
    <w:p w:rsidR="00653B54" w:rsidRDefault="001E77CB">
      <w:pPr>
        <w:pStyle w:val="Heading8"/>
        <w:jc w:val="left"/>
      </w:pPr>
      <w:r>
        <w:t>Opis provedbe cilja programa</w:t>
      </w:r>
    </w:p>
    <w:p w:rsidR="00653B54" w:rsidRDefault="001E77CB">
      <w:r>
        <w:t xml:space="preserve">Međunarodna obrambena suradnja podrazumijeva bilateralnu i regionalnu suradnju, multilateralnu obrambenu suradnju i međunarodnu sigurnost, sudjelovanje u radu obrambenih tijela NATO-a i EU-a te ostalih međunarodnih organizacija, kao i vojnu diplomaciju. U </w:t>
      </w:r>
      <w:r>
        <w:t>sklopu međunarodne obrambene suradnje poduzima se niz aktivnosti kojima se zastupaju interesi Republike Hrvatske u međunarodnim tijelima i organizacijama, kao i djelatnost vojne diplomacije. Aktivno djelovanje Republike Hrvatske u međunarodnim organizacija</w:t>
      </w:r>
      <w:r>
        <w:t>ma i unapređenje međunarodne obrambene suradnje pridonosi jačanju uloge Republike Hrvatske u međunarodnom sigurnosnom i obrambenom prostoru i razvoju obrambenog sustava Republike Hrvatske.</w:t>
      </w:r>
    </w:p>
    <w:p w:rsidR="00653B54" w:rsidRDefault="001E77CB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5"/>
        <w:gridCol w:w="2512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</w:t>
            </w:r>
            <w:r>
              <w:rPr>
                <w:rFonts w:cs="Times New Roman"/>
              </w:rPr>
              <w:t>ijednost</w:t>
            </w:r>
          </w:p>
        </w:tc>
        <w:tc>
          <w:tcPr>
            <w:tcW w:w="918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Osiguran visok stupanj doprinosa provedenih aktivnosti na unapređenje obrambenih sposobnosti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Podizanjem razine suradnje sa strateškim partnerima i međunarodnim tijelima doprin</w:t>
            </w:r>
            <w:r>
              <w:rPr>
                <w:rFonts w:cs="Times New Roman"/>
              </w:rPr>
              <w:t>osi se unapređenju međunarodnog položaja Republike Hrvatske te njezinih obrambenih sposobnosti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A545063 BILATERALNA I MULTILATERALNA SURADNJA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1203"/>
        <w:gridCol w:w="1211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A545063-BILATERALNA I MULTILATERALNA SURADNJA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1.191.547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1.634.610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1.577.773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96,5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132,4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Zakon o službi u Oružanim snagama Republike Hrvatske, Pravilnik o materijalnom zbrinjavanju, Uredba o mjerilima za plaće i drugim materijalnim pravima diplomatskih osoba Ministarstva obrane, vojnodiplomatskih osoba i osoba upućenih na rad u</w:t>
      </w:r>
      <w:r>
        <w:t xml:space="preserve"> međunarodne organizacije.</w:t>
      </w:r>
    </w:p>
    <w:p w:rsidR="00653B54" w:rsidRDefault="001E77CB">
      <w:pPr>
        <w:pStyle w:val="Heading8"/>
        <w:jc w:val="left"/>
      </w:pPr>
      <w:r>
        <w:lastRenderedPageBreak/>
        <w:t>Opis aktivnosti</w:t>
      </w:r>
    </w:p>
    <w:p w:rsidR="00653B54" w:rsidRDefault="001E77CB">
      <w:r>
        <w:t>Aktivnost obuhvaća provedbu bilateralnih i multilateralnih međunarodnih aktivnosti, aktivnosti iz područja nadzora naoružanja te aktivnosti vojno diplomatske mreže. Cilj je osigurati uspješno funkcioniranje međunarodne obrambene suradnje koja će se težišno</w:t>
      </w:r>
      <w:r>
        <w:t xml:space="preserve"> usmjeriti na strateške partnere te članice NATO-a i Europske unije. S državama koje su važne s aspekta vanjskopolitičkog i sigurnosnog interesa Republike Hrvatske, a nisu članice NATO-a i Europske unije prioritetno se razvija vojno-tehnička suradnja i sur</w:t>
      </w:r>
      <w:r>
        <w:t xml:space="preserve">adnja na području vojne izobrazbe.   </w:t>
      </w:r>
    </w:p>
    <w:p w:rsidR="00653B54" w:rsidRDefault="001E77CB">
      <w:r>
        <w:t>Izvršenje u 2024. godini obuhvatilo je rashode za organizaciju i provedbu međunarodnih aktivnosti i rashode za redovno funkcioniranje 9 vojno-diplomatskih predstavništava.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6"/>
        <w:gridCol w:w="2511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</w:t>
            </w:r>
            <w:r>
              <w:rPr>
                <w:rFonts w:cs="Times New Roman"/>
              </w:rPr>
              <w:t>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izvršenih aktivnosti bilateralne obrambene suradnje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Aktivnosti bilateralne obrambene suradnje provode se u svrhu jačanja suradnje sa strateškim</w:t>
            </w:r>
            <w:r>
              <w:rPr>
                <w:rFonts w:cs="Times New Roman"/>
              </w:rPr>
              <w:t xml:space="preserve"> partnerima i zemljama jugoistočne Europe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150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190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izvršenih aktivnosti multilateralne obrambene suradnje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Aktivnosti multilateralne obrambene suradnje provode se u svrhu jačanja suradnje s međunarodnim organizacijama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75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A545064 AKTIVNOSTI U OKVIRU NATO I EU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A545064-AKTIVNOSTI U OKVIRU NATO I EU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14.249.852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12.042.799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12.011.993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99,7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84,3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 xml:space="preserve">Zakon o obrani, Zakon o službi u Oružanim snagama Republike Hrvatske, Pravilnik o materijalnom zbrinjavanju, Uredba Vlade Republike Hrvatske o mjerilima za plaće i drugim materijalnim pravima diplomatskih osoba Ministarstva obrane, vojnodiplomatskih osoba </w:t>
      </w:r>
      <w:r>
        <w:t xml:space="preserve">i osoba upućenih na rad u međunarodne organizacije, Odluka Hrvatskog sabora o upućivanju pripadnika Oružanih snaga Republike Hrvatske na dužnosti u NATO zapovjednoj strukturi, NATO strukturi snaga i drugim nacionalnim (multinacionalnim) zapovjedništvima u </w:t>
      </w:r>
      <w:r>
        <w:t>operacije i druge aktivnosti u inozemstvu pod vodstvom NATO-a.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Republika Hrvatska doprinosi sposobnostima NATO-a i Europske unije čime se povećavaju zahtjevi u pogledu stručnih i operativnih kapaciteta rada Stalnog predstavništva Republike Hrvatske pri Organizaciji Sjevernoatlantskog ugovora, uključujući obrambeni i v</w:t>
      </w:r>
      <w:r>
        <w:t xml:space="preserve">ojni dio. Na području Zajedničke sigurnosne i obrambene politike Europske unije Republika Hrvatska sudjeluje u radu zajedničkih tijela i stožera, te doprinosi njihovom funkcioniranju i izgradnji zajedničkih sposobnosti..   </w:t>
      </w:r>
    </w:p>
    <w:p w:rsidR="00653B54" w:rsidRDefault="001E77CB">
      <w:r>
        <w:t>Izvršenje u 2024. godini obuhvat</w:t>
      </w:r>
      <w:r>
        <w:t>ilo je rashode za organizaciju i provedbu aktivnosti u okviru NATO-a i Europske unije, rashode za redovno funkcioniranje predstavništava Republike Hrvatske u tijelima i strukturama NATO-a i Europske unije te obveze po međunarodnim članarinama i zajedničkom</w:t>
      </w:r>
      <w:r>
        <w:t xml:space="preserve"> financiranju NATO-a i Europske unije.</w:t>
      </w:r>
    </w:p>
    <w:p w:rsidR="00653B54" w:rsidRDefault="001E77CB">
      <w:pPr>
        <w:pStyle w:val="Heading8"/>
        <w:jc w:val="left"/>
      </w:pPr>
      <w:r>
        <w:lastRenderedPageBreak/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17"/>
        <w:gridCol w:w="2504"/>
        <w:gridCol w:w="1011"/>
        <w:gridCol w:w="1016"/>
        <w:gridCol w:w="1126"/>
        <w:gridCol w:w="1016"/>
        <w:gridCol w:w="1016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odbora NATO-a i Europske unije na kojima sudjeluju djelatnici Stalnog predstavništva Republike Hrvatske pri Organizaciji Sjevernoatlantskog ugovora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Sudjelovanjem u radu odbora ispunjavaju se obveze Republike Hrvatske u radu NATO-a i Europske unije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</w:t>
            </w:r>
            <w:r>
              <w:rPr>
                <w:rFonts w:cs="Times New Roman"/>
              </w:rPr>
              <w:t>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101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102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3"/>
      </w:pPr>
      <w:r>
        <w:rPr>
          <w:rFonts w:cs="Times New Roman"/>
        </w:rPr>
        <w:t>2509 MIROVNE MISIJE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653B54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2509-MIROVNE MISIJE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26.628.491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24.045.564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24.037.318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100,0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90,3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Cilj 1. Aktivno sudjelovati u izgradnji sigurnijeg međunarodnog okruženja</w:t>
      </w:r>
    </w:p>
    <w:p w:rsidR="00653B54" w:rsidRDefault="001E77CB">
      <w:pPr>
        <w:pStyle w:val="Heading8"/>
        <w:jc w:val="left"/>
      </w:pPr>
      <w:r>
        <w:t>Opis provedbe cilja programa</w:t>
      </w:r>
    </w:p>
    <w:p w:rsidR="00653B54" w:rsidRDefault="001E77CB">
      <w:r>
        <w:t>Republika Hrvatska ispunjava preuzete međunarodne obveze sudjelovanjem u međunarodnim misijama, operacijama i drugim aktivnostima. Sudjelovanje pripadnika Oružanih snaga temelji se na učinkovitoj pripremi prije upućivanja na zadaću te na stvaranju sigurnos</w:t>
      </w:r>
      <w:r>
        <w:t>nih uvjeta pripadnika Oružanih snaga na području provedbe misija i operacija.</w:t>
      </w:r>
    </w:p>
    <w:p w:rsidR="00653B54" w:rsidRDefault="001E77CB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12"/>
        <w:gridCol w:w="2505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Ispunjene preuzete obveze sudj</w:t>
            </w:r>
            <w:r>
              <w:rPr>
                <w:rFonts w:cs="Times New Roman"/>
              </w:rPr>
              <w:t>elovanja u izgradnji sigurnijeg međunarodnog okruženja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Združenim djelovanjem sa saveznicima u misijama i operacijama pridonosi se smanjenju kriznih točaka u svijetu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A545065 UN MISIJE I OPERACIJE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A545065-UN MISIJE I OPERACIJE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176.514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689.337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686.765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99,6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389,1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 xml:space="preserve">Zakon o obrani, Zakon o službi u Oružanim snagama Republike Hrvatske, Odluke Hrvatskog sabora o sudjelovanju pripadnika Oružanih snaga Republike Hrvatske u operacijama potpore miru Ujedinjenih naroda; Pravilnik o </w:t>
      </w:r>
      <w:r>
        <w:lastRenderedPageBreak/>
        <w:t>sudjelovanju pripadnika Oružanih snaga Repu</w:t>
      </w:r>
      <w:r>
        <w:t>blike Hrvatske u operacijama potpore miru, operacijama odgovora na krize, humanitarnim operacijama i drugim aktivnostima u inozemstvu, Pravilnik o materijalnom zbrinjavanju.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Pripadnici Oružanih snaga Republike Hrvatske su u 2024. godini sudjelovali u 3 operacije potpore miru Ujedinjenih naroda: UNMOGIP – Indija i Pakistan, UNIFIL - Libanon i MINURSO Zapadna Sahara. Pripadnici Oružanih snaga su u operacijama bili raspoređeni na</w:t>
      </w:r>
      <w:r>
        <w:t xml:space="preserve"> stožerne dužnosti u zapovjedništvima operacije i kao vojni promatrači. Na pozicijama koje Oružane snage popunjavaju, u 2024. godini pripadnici Oružanih snaga prosječno su sudjelovali s 15 pripadnika (popunjavali 15 pozicija). U operaciji potpore miru UNMO</w:t>
      </w:r>
      <w:r>
        <w:t>GIP pripadnici Oružanih snaga popunjavali su 9 pozicija, u MINURSO 5 pozicija i u UNIFIL 1 poziciju. Zbog rotacija na pozicijama koje pripadnici Oružanih snaga popunjavaju, tijekom 2024. ukupno je sudjelovalo 27 pripadnika Oružanih snaga. Izvršenje aktivno</w:t>
      </w:r>
      <w:r>
        <w:t>sti u 2024. godini odnosilo se najvećim dijelom na naknade zaposlenima za sudjelovanje u operacijama potpore miru, uslugu prijevoza i zdravstvene usluge.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5"/>
        <w:gridCol w:w="2512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</w:t>
            </w:r>
            <w:r>
              <w:rPr>
                <w:rFonts w:cs="Times New Roman"/>
              </w:rPr>
              <w:t>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operacija potpore miru Ujedinjenih naroda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Očuvanje mira i stabilnosti sudjelovanjem u operacijama potpore miru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pripadnika koji sudjeluju u operacijama potpore miru Ujedinjenih naroda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Pripadnici Oružanih snaga svojim sudjelovanjem pridonose provedbi operacija potpore miru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17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15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A545066 NATO MISIJE I OPERACIJE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</w:t>
            </w:r>
            <w:r>
              <w:rPr>
                <w:rFonts w:cs="Times New Roman"/>
              </w:rPr>
              <w:t>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A545066-NATO MISIJE I OPERACIJE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26.272.767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22.813.861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22.808.187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100,0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86,8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Zakon o službi u Oružanim snagama Republike Hrvatske, Odluke Hrvatskog sabora o sudjelovanju Oružanih snaga Republike Hrvatske u misijama, operacijama i aktivnostima NATO-a i operaciji Koalicijskih snaga INHERENT RESOLVE; Pravilnik o sudjel</w:t>
      </w:r>
      <w:r>
        <w:t>ovanju pripadnika Oružanih snaga Republike Hrvatske u operacijama potpore miru, operacijama odgovora na krize, humanitarnim operacijama i drugim aktivnostima u inozemstvu, Pravilnik o materijalnom zbrinjavanju.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Pripadnici Oružanih snaga Rep</w:t>
      </w:r>
      <w:r>
        <w:t>ublike Hrvatske su u 2024. godini sudjelovali u 7 operacija, misija i aktivnosti vođenih od NATO-a: u dvije NATO vođene operacije (Kosovo Forces na Kosovu i Operation Sea Guardian na Mediteranu), u jednoj NATO vođenoj misiji (NMI NATO Mission Iraq u Iraku)</w:t>
      </w:r>
      <w:r>
        <w:t>, u jednoj NATO aktivnosti ojačane prednje prisutnosti (NATO enhanced Forward Presence Battle Group - u Republici Poljskoj), u dvije NATO aktivnosti ojačane budnosti (enhanced Vigilance Activities - u Republici Bugarskoj i Mađarskoj), te u jednoj aktivnost</w:t>
      </w:r>
      <w:r>
        <w:t>i Stalne NATO skupine protuminskih snaga 2 (Standing NATO Mine Counter- Measures Group 2 u Sredozemlju). U operacijama, misijama i aktivnostima NATO-a sudjelovala su prosječno 317 pripadnika Oružanih snaga. Zbog rotacija na pozicijama koje pripadnici Oruža</w:t>
      </w:r>
      <w:r>
        <w:t xml:space="preserve">nih snaga popunjavaju, tijekom 2024. godine ukupno je sudjelovalo 928 pripadnika. Pored NATO vođenih operacija, misija i aktivnosti, pripadnici Oružanih snaga sudjelovali su i u operaciji </w:t>
      </w:r>
      <w:r>
        <w:lastRenderedPageBreak/>
        <w:t>pod vodstvom koalicijskih snaga INHERENT RESOLVE (OIR) u Kuvajtu s p</w:t>
      </w:r>
      <w:r>
        <w:t xml:space="preserve">opunjavanjem 1 stožerne pozicije na koju su upućena 3 pripadnika te u NATO snagama brzog odgovora. Izvršenje aktivnosti u 2024. godini u najvećoj mjeri odnosilo se na naknade zaposlenima, usluge prijevoza, prehrane, smještaja, zdravstvene usluge, pogonsko </w:t>
      </w:r>
      <w:r>
        <w:t>gorivo, premije osiguranja, nabavu vojne opreme te izgradnju tehničkih kapaciteta. Izvršenje nije usporedivo s prethodnom godinom zbog različitog broja pripadnika Oružanih snaga u pojedinoj godini.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6"/>
        <w:gridCol w:w="2511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</w:t>
            </w:r>
            <w:r>
              <w:rPr>
                <w:rFonts w:cs="Times New Roman"/>
              </w:rPr>
              <w:t>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NATO misija, operacija i aktivnosti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Očuvanje mira i stabilnosti sudjelovanjem u NATO misijama, operacijama i aktivnostima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8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pripadnika koji sudjeluju u NATO misijama, operacijama i aktivnostima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Pripadnici Oružanih snaga svojim sudjelovanjem pridonose provedbi misija, operacija i aktivnosti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295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317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A545067 EU MISIJE I OPERACIJE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A545067-EU MISIJE I OPERACIJE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179.209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542.366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542.366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100,0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302,6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 xml:space="preserve">Zakon o obrani, Zakon o službi u Oružanim snagama Republike Hrvatske, Odluke Hrvatskog sabora o sudjelovanju pripadnika Oružanih snaga Republike Hrvatske u misijama i operacijama Europske unije, Pravilnik o sudjelovanju pripadnika Oružanih snaga Republike </w:t>
      </w:r>
      <w:r>
        <w:t>Hrvatske u operacijama potpore miru, operacijama odgovora na krize, humanitarnim operacijama i drugim aktivnostima u inozemstvu, Pravilnik o materijalnom zbrinjavanju.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Pripadnici Oružanih snaga Republike Hrvatske su u 2024. godini sudjelova</w:t>
      </w:r>
      <w:r>
        <w:t>li u dvije EU vođene operacije:           EUNAVFOR SOMALIA ATALANTA i EUNAVFOR MED IRINI popunjavanjem 1 stožerne pozicije u Zapovjedništvu operacije EUNAVFOR SOMALIA ATALANTA i 3 stožerne pozicije u Zapovjedništvu operacije EUNAVFOR MED IRINI. Zbog rotaci</w:t>
      </w:r>
      <w:r>
        <w:t xml:space="preserve">ja na pozicijama koje pripadnici Oružanih snaga popunjavaju, tijekom 2024. godine bilo je potrebno uputiti ukupno 10 pripadnika Oružanih snaga. Osim sudjelovanja u operacijama, u 2024. godini Oružane snage sudjelovale su u sastavu Borbene skupine Europske </w:t>
      </w:r>
      <w:r>
        <w:t>unije pod vodstvom Talijanske Republike te su provedene pripreme za angažiranje u Borbenoj skupini Europske unije pod vodstvom Savezne Republike  Njemačke koja će biti u stanju pripravnosti u 2025. godini. Izvršenje aktivnosti u 2024. godini odnosilo se na</w:t>
      </w:r>
      <w:r>
        <w:t xml:space="preserve">jvećim dijelom na naknade zaposlenima za sudjelovanje u operacijama, uslugu prijevoza i telefona, smještaja, prehrane  i zdravstvene usluge. Izvršenje nije usporedivo s prethodnom godinom zbog različitog broja pripadnika Oružanih snaga u pojedinoj godini. </w:t>
      </w:r>
      <w:r>
        <w:t>Ostvarena vrijednost pokazatelja rezultata manja je od planirane, jer u 2024. nije bilo upućivanja pripadnika tima za zaštitu broda (Autonomous Vessel Protection Detachment - AVPD).</w:t>
      </w:r>
    </w:p>
    <w:p w:rsidR="00653B54" w:rsidRDefault="001E77CB">
      <w:pPr>
        <w:pStyle w:val="Heading8"/>
        <w:jc w:val="left"/>
      </w:pPr>
      <w:r>
        <w:lastRenderedPageBreak/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5"/>
        <w:gridCol w:w="2512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</w:t>
            </w:r>
            <w:r>
              <w:rPr>
                <w:rFonts w:cs="Times New Roman"/>
              </w:rPr>
              <w:t>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operacija Europske unije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Očuvanje mira i stabilnosti sudjelovanjem u operacijama Europske unije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djelatnika koji sudjeluju u operacijama Europske unije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Pripadnici Oružanih snaga svojim sudjelovanjem pridonose provedbi operacija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28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4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3"/>
      </w:pPr>
      <w:r>
        <w:rPr>
          <w:rFonts w:cs="Times New Roman"/>
        </w:rPr>
        <w:t>2606 KORIŠTENJE ORUŽANIH SNAGA ZA POMOĆ CIVILNIM INSTITUCIJAMA I STANOVNIŠTVU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59"/>
        <w:gridCol w:w="2034"/>
        <w:gridCol w:w="2034"/>
        <w:gridCol w:w="2034"/>
        <w:gridCol w:w="1222"/>
        <w:gridCol w:w="1223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653B54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2606-KORIŠTENJE ORUŽANIH SNAGA ZA POMOĆ CIVILNIM INSTITUCIJAMA I STANOVNIŠTVU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18.468.604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21.225.494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20.222.111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95,3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109,5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Cilj 1. Pomoći drugim državnim tijelima, institucijama i stanovništvu</w:t>
      </w:r>
    </w:p>
    <w:p w:rsidR="00653B54" w:rsidRDefault="001E77CB">
      <w:pPr>
        <w:pStyle w:val="Heading8"/>
        <w:jc w:val="left"/>
      </w:pPr>
      <w:r>
        <w:t>Opis provedbe cilja programa</w:t>
      </w:r>
    </w:p>
    <w:p w:rsidR="00653B54" w:rsidRDefault="001E77CB">
      <w:r>
        <w:t xml:space="preserve">Obrambeni sustav u mirnodopskim uvjetima ima važnu ulogu u potpori civilnim institucijama u zemlji. Cilj navedene potpore je zaštita interesa Republike Hrvatske na moru, sprečavanje i umanjenje štete od šumskih požara, hitni medicinski prijevoz, potraga i </w:t>
      </w:r>
      <w:r>
        <w:t>spašavanje, obrana od poplava i druge pomoći u zaštiti imovine i građana.</w:t>
      </w:r>
    </w:p>
    <w:p w:rsidR="00653B54" w:rsidRDefault="001E77CB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8"/>
        <w:gridCol w:w="2509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Osiguran visok stupanj odgovora na</w:t>
            </w:r>
            <w:r>
              <w:rPr>
                <w:rFonts w:cs="Times New Roman"/>
              </w:rPr>
              <w:t xml:space="preserve"> zahtjeve za pružanje potpore civilnim institucijama i stanovništvu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Provođenjem zadaća zaštite i spašavanja pruža se pomoć civilnim institucijama i stanovništvu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95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95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95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A545035 PROTUPOŽARNA ZAŠTITA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16"/>
        <w:gridCol w:w="2018"/>
        <w:gridCol w:w="2017"/>
        <w:gridCol w:w="2017"/>
        <w:gridCol w:w="1218"/>
        <w:gridCol w:w="1220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A545035-PROTUPOŽARNA ZAŠTITA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13.364.284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15.895.006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15.082.834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94,9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112,9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Zakon o sustavu civilne zaštite, Zakon o vatrogastvu, Pravilnik o materijalnom zbrinjavanju, Program aktivnosti u provedbi posebnih mjera zaštite od požara od interesa za Republiku Hrvatsku, Odluka o ostvarivanju prava na naknadu pripadnici</w:t>
      </w:r>
      <w:r>
        <w:t>ma Ministarstva obrane i Oružanih snaga Republike Hrvatske angažiranima za provedbu pomoći civilnim institucijama i stanovništvu.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Sudjelovanjem u protupožarnoj zaštiti Oružane snage Republike Hrvatske pružaju pomoć civilnim institucijama za zaštitu i spašavanje u gašenju požara tijekom cijele godine, a posebno tijekom protupožarne sezone, prvenstveno u priobalju. Gašenje požara provo</w:t>
      </w:r>
      <w:r>
        <w:t>di se u suradnji s Hrvatskom vatrogasnom zajednicom. Za provedbu protupožarne zaštite ustrojavaju se namjenske protupožarne snage sastavljene od dijelova snaga Hrvatske kopnene vojske, Hrvatskog ratnog zrakoplovstva i Hrvatske ratne mornarice, radi pružanj</w:t>
      </w:r>
      <w:r>
        <w:t xml:space="preserve">a pomoći i potpore vatrogasnim postrojbama u gašenju požara otvorenog prostora iz zraka i sa zemlje te prevoženja morem i opskrbe gasitelja vodom.  </w:t>
      </w:r>
    </w:p>
    <w:p w:rsidR="00653B54" w:rsidRDefault="001E77CB">
      <w:r>
        <w:t>U 2024. godini zaprimljena su 243 zahtjeva Hrvatske vatrogasne zajednice za potporu gašenja požara, a pri t</w:t>
      </w:r>
      <w:r>
        <w:t>ome su angažirani zrakoplovi Canadair CL-415 i Air Tractor AT-802 A/F te druga materijalna sredstva. Za navedene zadaće izvršeno je 5.868 letova  u trajanju od 896:45 sati naleta zrakoplova, pritom je izbačeno 28.896 tona vode i utrošeno 19.293 litre pjeni</w:t>
      </w:r>
      <w:r>
        <w:t xml:space="preserve">la za gašenje požara. Tijekom 2024. nastavljena je suradnja u okviru rescEU kapaciteta za gašenje požara Mehanizma Unije za civilnu zaštitu gdje se Republika Hrvatska prijavila i uključila sa zrakoplovima CL-415 Canadair u program međunarodne pomoći u kao </w:t>
      </w:r>
      <w:r>
        <w:t>odgovor Unije na prirodne katastrofe i katastrofe uzrokovane ljudskim djelovanjem. Oružane snage su uspješno izvršile zadaće pružanja humanitarne pomoći u gašenju požara izvan Republike Hrvatske, gdje su  protupožarni zrakoplovi bili angažirani u Helenskoj</w:t>
      </w:r>
      <w:r>
        <w:t xml:space="preserve"> Republici i Sjevernoj Makedoniji. u tri navrata. Pri tome je izvršeno 175 letova i ostvareno 53:30 sati naleta. Izvršenje aktivnosti u 2024. godini odnosilo se na održavanja zrakoplova, naknade zaposlenima, pogonsko gorivo, usluge prehrane, namirnice, rad</w:t>
      </w:r>
      <w:r>
        <w:t>nu i zaštitnu odjeću, materijal i sredstva za čišćenje i usluge telefona i prijevoza. Izvršenje aktivnosti veće je od prethodne godine, uslijed večeg broja požara i potrebe za sudjelovanjem Oružanih snaga u gašenju.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6"/>
        <w:gridCol w:w="2511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</w:t>
            </w:r>
            <w:r>
              <w:t>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angažiranih pripadnika Oružanih snaga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Angažiranjem pripadnika Oružanih snaga pridonosi se zaštiti od požara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510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250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angažiranih temeljnih sredstava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Angažiranjem opreme pridonijeti zaštiti od požara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27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23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A545039 OBALNA STRAŽA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A545039-OBALNA STRAŽA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2.764.781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3.208.769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3.184.410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99,2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115,2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lastRenderedPageBreak/>
        <w:t>Zakonske i druge pravne osnove</w:t>
      </w:r>
    </w:p>
    <w:p w:rsidR="00653B54" w:rsidRDefault="001E77CB">
      <w:r>
        <w:t>Zakon o obrani, Zakon o obalnoj straži Republike Hrvatske, Pravilnik o materijalnom zbrinjavanju.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Zadaće Obalne straže Republike Hrvatske obuhvaćaju provođenje učinkovitog nadzora i zaštitu prava i interesa Republike Hrvatske na moru samost</w:t>
      </w:r>
      <w:r>
        <w:t>alno ili pružanjem potpore drugim državnim tijelima. Područja obuhvaćena djelovanjem Obalne straže Republike Hrvatske su suzbijanje i sprječavanje terorizma, organiziranog međunarodnog kriminala i širenja oružja za masovno uništenje; suzbijanje piratstva i</w:t>
      </w:r>
      <w:r>
        <w:t xml:space="preserve"> drugih oblika korištenja otvorenog mora u nemiroljubive svrhe; sigurnost plovidbe; traganje i spašavanje; zaštita morskog okoliša, prirode i kulturne baštine te nadzor morskog ribarstva..  </w:t>
      </w:r>
    </w:p>
    <w:p w:rsidR="00653B54" w:rsidRDefault="001E77CB">
      <w:r>
        <w:t>Tijekom 2024. godine pomorske snage Obalne straže su u plovidbi p</w:t>
      </w:r>
      <w:r>
        <w:t>rovele 2.358 sati, prešavši 29.560 nautičkih milja. Zračne snage koje pružaju potporu Obalnoj straži, izvršile su 35 letova, ostvarile 47:26 sati naleta. Obalna straža je u sklopu provedbe zadaća nadzora morskog ribarstva pratila aktivnosti i izvršila iden</w:t>
      </w:r>
      <w:r>
        <w:t>tifikaciju i neposreddni nadzor nad 345 plovila. Također je praćena plovidba 21 stranog broda kroz unutarnje vode Republike Hrvatske. Izvršenje aktivnosti u 2024. godini obuhvatilo je rashode za održavanje brodova i brodskih sustava, pogonsko gorivo, uslug</w:t>
      </w:r>
      <w:r>
        <w:t>u prehrane te troškove namirnica kojima su opskrbljeni brodovi, naknade zaposlenima i opremu.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6"/>
        <w:gridCol w:w="2511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angažiranih pripadnika Oružanih snaga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Angažiranjem pripadnika Oružanih snaga pridonosi se zaštiti prava i interesa Republike Hrvatske na moru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202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angažiranih temeljnih sredstava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Angažiranjem opreme na zadaćama Obal</w:t>
            </w:r>
            <w:r>
              <w:rPr>
                <w:rFonts w:cs="Times New Roman"/>
              </w:rPr>
              <w:t>ne straže pridonosi se zaštiti prava i interesa Republike Hrvatske na moru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Kom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21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A545068 HITNI MEDICINSKI PRIJEVOZ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A545068-HITNI MEDICINSKI PRIJEVOZ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1.695.945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1.718.041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1.708.968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99,5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100,8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Pravilnik o materijalnom zbrinjavanju, Sporazum između Ministarstva obrane i Ministarstva zdravstva o suradnji u provedbi hitnog zračnog medicinskog prijevoza u svrhu pružanja zdravstvene zaštite na području Republike Hrvatske, Odluka o ost</w:t>
      </w:r>
      <w:r>
        <w:t>varivanju prava na naknadu pripadnicima Ministarstva obrane i Oružanih snaga Republike Hrvatske angažiranima za provedbu pomoći civilnim institucijama i stanovništvu.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Oružane snage Republike Hrvatske izvršavaju zadaće hitnog zračnog medicin</w:t>
      </w:r>
      <w:r>
        <w:t xml:space="preserve">skog prijevoza ozlijeđenih i/ili oboljelih osoba, kao i zadaće hitnog zračnog prijevoza organa za transplantaciju.  </w:t>
      </w:r>
    </w:p>
    <w:p w:rsidR="00653B54" w:rsidRDefault="001E77CB">
      <w:r>
        <w:t>U 2024. godini su do 30. lipnja u spremnosti bila 2 transportna helikoptera s posadama i medicinskim timovima, a od 1. srpnja 2 helikoptera</w:t>
      </w:r>
      <w:r>
        <w:t xml:space="preserve"> s posadama. Tijekom 2024. godine zaprimljena su 283 zahtjeva za hitnim prijevozom </w:t>
      </w:r>
      <w:r>
        <w:lastRenderedPageBreak/>
        <w:t>pacijenata, od čega je izvršeno 258 zahtjeva. Pri tome je prevezeno 279 pacijenata i 50 pratitelja, a izvršeno je  749 letova u trajanju 294:20 sati. Nije realizirano 25 zah</w:t>
      </w:r>
      <w:r>
        <w:t>tjeva (23 zbog nepovoljnih meteoroloških uvjeta, 1 zbog neraspoloživosti helikoptera i 1 jer je pacijent odbio prijevoz helikopterom). Zaprimljena su i realizirana 3 zahtjeva za prijevoz organa za transplantaciju. Ostvareno je 9 letova u trajanju 7:05 sati</w:t>
      </w:r>
      <w:r>
        <w:t>. Izvršenje aktivnosti u 2024. godini obuhvatilo je u najvećem dijelu rashode za održavanje helikoptera (materijal i usluge), pogonsko gorivo i naknade zaposlenima, dok se ostatak odnosio na smještaj i prehranu za medicinske timove i posade helikoptera. Os</w:t>
      </w:r>
      <w:r>
        <w:t>tvarene vrijednosti pokazatelja manje su od ciljanih jer je Ministarstvo zdravstva organiziralo hitni medicinski prijevoz angažiranjem privatne tvrtke, tako da su potrebe za angažiranjem kapaciteta Ministarstva obrane bile manje.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7"/>
        <w:gridCol w:w="2510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</w:t>
            </w:r>
            <w:r>
              <w:t>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hitnih medicinskih prijevoza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Angažiranjem helikoptera osigurava se hitan medicinski prijevoz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780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261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Sati naleta helikoptera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Ostvareni sati naleta helikoptera za potrebe hitnog medicinskog prijevoza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Sat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850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301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Udio izvršenih hitnih medicinskih prijevoza u zaprimljenim pozivima za hitnim medicinskim prijevozom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Osigurava se hitan medicinski prijevoz po zaprimljenim pozivima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91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A545069 POTRAGA I SPAŠAVANJE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A545069-POTRAGA I SPAŠAVANJE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132.507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180.041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50.339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28,0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38,0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>Zakon o obrani, Zakon o sustavu civilne zaštite, Uredba Vlade Republike Hrvatske o uvjetima i načinu obavljanja potrage i spašavanja zrakoplova, Sporazum o suradnji u području zrakoplovne potrage i spašavanja između Ministarstva obrane i Ministarstva unuta</w:t>
      </w:r>
      <w:r>
        <w:t>rnjih poslova, Odluka o ostvarivanju prava na naknadu pripadnicima Ministarstva obrane i Oružanih snaga Republike Hrvatske angažiranima za provedbu pomoći civilnim institucijama i stanovništvu.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>Oružane snage Republike Hrvatske provode zadać</w:t>
      </w:r>
      <w:r>
        <w:t>e potrage i spašavanja u suradnji s Hrvatskom gorskom službom spašavanja, Obalnom stražom, Nacionalnom središnjicom za traganje i spašavanje na moru i drugim civilnim institucijama. Osim izviđanja terena, zrakoplovi Hrvatskog ratnog zrakoplovstva sudjeluju</w:t>
      </w:r>
      <w:r>
        <w:t xml:space="preserve"> i u izvlačenju osoba s nepristupačnog područja, odnosno područja u kojem kretanje i transport nisu mogući. Za zadaće se koriste helikopteri, zrakoplovi, brodovi i radarski sustavi, a koja će sredstva biti upotrijebljena ovisi o različitim čimbenicima i te</w:t>
      </w:r>
      <w:r>
        <w:t xml:space="preserve">žini akcije.   </w:t>
      </w:r>
    </w:p>
    <w:p w:rsidR="00653B54" w:rsidRDefault="001E77CB">
      <w:r>
        <w:t>Tijekom 2024. godine zaprimljeno je 16 zahtjeva za zadaćama potrage i spašavanja na kopnu i otocima i svi su realizirani. Pri tome je ostvareno je 59 letova u trajanju od 25:50 sati naleta i prevezeno 16 unesrećenih i 58 spasitelja.  Za ang</w:t>
      </w:r>
      <w:r>
        <w:t xml:space="preserve">ažiranje plovila za traganje na moru zaprimljeno je 13 zahtjeva i svi su realizirani, pri tome  je ostvareno </w:t>
      </w:r>
      <w:r>
        <w:lastRenderedPageBreak/>
        <w:t>104:29 sati plovidbe.  Angažiranje zrakoplova za traganje na moru zatraženo je 8 puta i ostvareno je  11 letova u trajanju od 19:02 sati naleta. Iz</w:t>
      </w:r>
      <w:r>
        <w:t>vršenje aktivnosti u 2024. godini obuhvatilo je u najvećem dijelu rashode za pogonsko gorivo i nabavu opreme, dok se ostatak odnosio na naknade zaposlenima, usluge prehrane i čišćenja.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7"/>
        <w:gridCol w:w="2510"/>
        <w:gridCol w:w="1012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Broj provedenih akcija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Angažiranjem ljudstva i opreme pridonosi se potrazi i spašavanju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Broj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23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29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Udio provedenih akcija u ukupno zaprimljenim pozivima za angažiranjem u potragama i spašavanju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Angažiranje u potragama i spašavanju po zaprimljenim pozivima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4"/>
      </w:pPr>
      <w:r>
        <w:t>A545070 POMOĆ LOKALNOJ ZAJEDNICI I USTANOVAMA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653B54">
        <w:trPr>
          <w:jc w:val="center"/>
        </w:trPr>
        <w:tc>
          <w:tcPr>
            <w:tcW w:w="1632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</w:t>
            </w:r>
            <w:r>
              <w:rPr>
                <w:rFonts w:cs="Times New Roman"/>
              </w:rPr>
              <w:t>vršenje 2023.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653B54">
        <w:trPr>
          <w:jc w:val="center"/>
        </w:trPr>
        <w:tc>
          <w:tcPr>
            <w:tcW w:w="1632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A545070-POMOĆ LOKALNOJ ZAJEDNICI I USTANOVAMA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511.086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223.637</w:t>
            </w:r>
          </w:p>
        </w:tc>
        <w:tc>
          <w:tcPr>
            <w:tcW w:w="2041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195.561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87,4</w:t>
            </w:r>
          </w:p>
        </w:tc>
        <w:tc>
          <w:tcPr>
            <w:tcW w:w="1224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38,3</w:t>
            </w:r>
          </w:p>
        </w:tc>
      </w:tr>
    </w:tbl>
    <w:p w:rsidR="00653B54" w:rsidRDefault="00653B54">
      <w:pPr>
        <w:jc w:val="left"/>
      </w:pPr>
    </w:p>
    <w:p w:rsidR="00653B54" w:rsidRDefault="001E77CB">
      <w:pPr>
        <w:pStyle w:val="Heading8"/>
        <w:jc w:val="left"/>
      </w:pPr>
      <w:r>
        <w:t>Zakonske i druge pravne osnove</w:t>
      </w:r>
    </w:p>
    <w:p w:rsidR="00653B54" w:rsidRDefault="001E77CB">
      <w:r>
        <w:t xml:space="preserve">Zakon o obrani, Zakon o sustavu civilne zaštite, Zakon o zaštiti od elementarnih nepogoda, Odluka o ostvarivanju prava na naknadu pripadnicima Ministarstva obrane i Oružanih snaga Republike Hrvatske angažiranima za provedbu pomoći civilnim institucijama i </w:t>
      </w:r>
      <w:r>
        <w:t>stanovništvu.</w:t>
      </w:r>
    </w:p>
    <w:p w:rsidR="00653B54" w:rsidRDefault="001E77CB">
      <w:pPr>
        <w:pStyle w:val="Heading8"/>
        <w:jc w:val="left"/>
      </w:pPr>
      <w:r>
        <w:t>Opis aktivnosti</w:t>
      </w:r>
    </w:p>
    <w:p w:rsidR="00653B54" w:rsidRDefault="001E77CB">
      <w:r>
        <w:t xml:space="preserve">Ministarstvo obrane i Oružane snage Republike Hrvatske svoje opremljene, osposobljene i uvježbane pripadnike i postrojbe angažiraju kroz samostalno ili združeno djelovanje s drugim tijelima kada njihovi namjenski resursi nisu </w:t>
      </w:r>
      <w:r>
        <w:t>dovoljni u sprječavanju nastanka štetnih događaja ili prilikom otklanjanja posljedica te u svakodnevnim aktivnostima. Cilj aktivnosti je pružanje pomoći u zaštiti i spašavanju ljudi i materijalne imovine na područjima pogođenim elementarnim nepogodama, kao</w:t>
      </w:r>
      <w:r>
        <w:t xml:space="preserve"> i drugim oblicima civilno-vojne suradnje.   </w:t>
      </w:r>
    </w:p>
    <w:p w:rsidR="00653B54" w:rsidRDefault="001E77CB">
      <w:r>
        <w:t>Tijekom 2024. godine postrojbe Oružanih snaga bile su angažirane na raznim zadaćama inženjerijskih i infrastrukturnih radova potpore drugim državnim tijelima i lokalnoj zajednici, sudjelovale su u odavanju poča</w:t>
      </w:r>
      <w:r>
        <w:t>sti prilikom sahrane hrvatskih branitelja. Pripadnici Oružanih snaga također su bili u pripravnosti za obranu od poplava na području Osječko-baranjske i Vukovarsko-srijemske županije.</w:t>
      </w:r>
    </w:p>
    <w:p w:rsidR="00653B54" w:rsidRDefault="001E77CB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03"/>
        <w:gridCol w:w="2513"/>
        <w:gridCol w:w="1013"/>
        <w:gridCol w:w="1017"/>
        <w:gridCol w:w="1126"/>
        <w:gridCol w:w="1017"/>
        <w:gridCol w:w="1017"/>
      </w:tblGrid>
      <w:tr w:rsidR="00653B54">
        <w:trPr>
          <w:jc w:val="center"/>
        </w:trPr>
        <w:tc>
          <w:tcPr>
            <w:tcW w:w="2551" w:type="dxa"/>
            <w:shd w:val="clear" w:color="auto" w:fill="B5C0D8"/>
          </w:tcPr>
          <w:p w:rsidR="00653B54" w:rsidRDefault="001E77CB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Polazna v</w:t>
            </w:r>
            <w:r>
              <w:rPr>
                <w:rFonts w:cs="Times New Roman"/>
              </w:rPr>
              <w:t>rijednost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653B54" w:rsidRDefault="001E77CB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653B54">
        <w:trPr>
          <w:jc w:val="center"/>
        </w:trPr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Udio izvršenih pomoći u ukupnom broju poziva za pomoć civilnih institucija</w:t>
            </w:r>
          </w:p>
        </w:tc>
        <w:tc>
          <w:tcPr>
            <w:tcW w:w="2551" w:type="dxa"/>
          </w:tcPr>
          <w:p w:rsidR="00653B54" w:rsidRDefault="001E77CB">
            <w:pPr>
              <w:pStyle w:val="CellColumn"/>
              <w:jc w:val="left"/>
            </w:pPr>
            <w:r>
              <w:rPr>
                <w:rFonts w:cs="Times New Roman"/>
              </w:rPr>
              <w:t>Angažiranjem djelatnika i opreme Ministarstvo obrane sudjeluje u pružanju pomoći civilnim institucijama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Ministarstvo obrane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653B54" w:rsidRDefault="001E77CB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653B54" w:rsidRDefault="00653B54" w:rsidP="00974FE0">
      <w:pPr>
        <w:jc w:val="left"/>
      </w:pPr>
    </w:p>
    <w:sectPr w:rsidR="00653B54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7514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E77CB" w:rsidRDefault="001E77CB" w:rsidP="001E77CB">
            <w:pPr>
              <w:pStyle w:val="NormalSpecial"/>
              <w:jc w:val="right"/>
            </w:pPr>
            <w:r w:rsidRPr="001E77CB">
              <w:fldChar w:fldCharType="begin"/>
            </w:r>
            <w:r w:rsidRPr="001E77CB">
              <w:instrText xml:space="preserve"> PAGE </w:instrText>
            </w:r>
            <w:r w:rsidRPr="001E77CB">
              <w:fldChar w:fldCharType="separate"/>
            </w:r>
            <w:r>
              <w:rPr>
                <w:noProof/>
              </w:rPr>
              <w:t>5</w:t>
            </w:r>
            <w:r w:rsidRPr="001E77CB">
              <w:fldChar w:fldCharType="end"/>
            </w:r>
            <w:r w:rsidRPr="001E77CB">
              <w:t xml:space="preserve"> </w:t>
            </w:r>
            <w:r w:rsidRPr="001E77CB">
              <w:t xml:space="preserve">od </w:t>
            </w:r>
            <w:r w:rsidRPr="001E77CB">
              <w:fldChar w:fldCharType="begin"/>
            </w:r>
            <w:r w:rsidRPr="001E77CB">
              <w:instrText xml:space="preserve"> NUMPAGES  </w:instrText>
            </w:r>
            <w:r w:rsidRPr="001E77CB">
              <w:fldChar w:fldCharType="separate"/>
            </w:r>
            <w:r>
              <w:rPr>
                <w:noProof/>
              </w:rPr>
              <w:t>31</w:t>
            </w:r>
            <w:r w:rsidRPr="001E77CB">
              <w:fldChar w:fldCharType="end"/>
            </w:r>
          </w:p>
        </w:sdtContent>
      </w:sdt>
    </w:sdtContent>
  </w:sdt>
  <w:p w:rsidR="00322898" w:rsidRPr="00D769ED" w:rsidRDefault="001E77CB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1E77CB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1E77CB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53B54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74FE0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45A08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36C87C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4BCE-9FA8-43F2-9978-A511E94A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31</Pages>
  <Words>12359</Words>
  <Characters>70452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DAMIR MIRT</cp:lastModifiedBy>
  <cp:revision>17</cp:revision>
  <dcterms:created xsi:type="dcterms:W3CDTF">2016-10-28T08:23:00Z</dcterms:created>
  <dcterms:modified xsi:type="dcterms:W3CDTF">2025-04-07T12:00:00Z</dcterms:modified>
</cp:coreProperties>
</file>